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B0F27">
      <w:pPr>
        <w:widowControl w:val="0"/>
        <w:pBdr>
          <w:bottom w:val="single" w:color="FFFFFF" w:sz="4" w:space="31"/>
        </w:pBdr>
        <w:tabs>
          <w:tab w:val="left" w:pos="2700"/>
          <w:tab w:val="left" w:pos="2996"/>
          <w:tab w:val="left" w:pos="8640"/>
        </w:tabs>
        <w:rPr>
          <w:rFonts w:ascii="黑体" w:hAnsi="黑体" w:eastAsia="黑体" w:cs="Times New Roman"/>
          <w:color w:val="000000" w:themeColor="text1"/>
          <w:sz w:val="28"/>
          <w:szCs w:val="28"/>
          <w:lang w:val="zh-CN"/>
        </w:rPr>
      </w:pPr>
      <w:bookmarkStart w:id="0" w:name="_Toc60490298"/>
      <w:bookmarkStart w:id="1" w:name="_Toc22267"/>
      <w:bookmarkStart w:id="2" w:name="_Toc60325938"/>
      <w:r>
        <w:rPr>
          <w:rFonts w:ascii="黑体" w:hAnsi="黑体" w:eastAsia="黑体" w:cs="Times New Roman"/>
          <w:color w:val="000000" w:themeColor="text1"/>
          <w:sz w:val="28"/>
          <w:szCs w:val="28"/>
          <w:lang w:val="zh-CN"/>
        </w:rPr>
        <w:t>十九届人大</w:t>
      </w:r>
      <w:r>
        <w:rPr>
          <w:rFonts w:hint="eastAsia" w:ascii="黑体" w:hAnsi="黑体" w:eastAsia="黑体" w:cs="Times New Roman"/>
          <w:color w:val="000000" w:themeColor="text1"/>
          <w:sz w:val="28"/>
          <w:szCs w:val="28"/>
        </w:rPr>
        <w:t>四</w:t>
      </w:r>
      <w:r>
        <w:rPr>
          <w:rFonts w:ascii="黑体" w:hAnsi="黑体" w:eastAsia="黑体" w:cs="Times New Roman"/>
          <w:color w:val="000000" w:themeColor="text1"/>
          <w:sz w:val="28"/>
          <w:szCs w:val="28"/>
          <w:lang w:val="zh-CN"/>
        </w:rPr>
        <w:t>次</w:t>
      </w:r>
    </w:p>
    <w:p w14:paraId="2FA0D7FD">
      <w:pPr>
        <w:widowControl w:val="0"/>
        <w:pBdr>
          <w:bottom w:val="single" w:color="FFFFFF" w:sz="4" w:space="31"/>
        </w:pBdr>
        <w:tabs>
          <w:tab w:val="left" w:pos="2700"/>
          <w:tab w:val="left" w:pos="2996"/>
          <w:tab w:val="left" w:pos="8640"/>
        </w:tabs>
        <w:rPr>
          <w:rFonts w:ascii="黑体" w:hAnsi="黑体" w:eastAsia="黑体" w:cs="Times New Roman"/>
          <w:color w:val="000000" w:themeColor="text1"/>
          <w:sz w:val="28"/>
          <w:lang w:val="zh-CN"/>
        </w:rPr>
      </w:pPr>
      <w:r>
        <w:rPr>
          <w:rFonts w:ascii="黑体" w:hAnsi="黑体" w:eastAsia="黑体" w:cs="Times New Roman"/>
          <w:color w:val="000000" w:themeColor="text1"/>
          <w:sz w:val="28"/>
          <w:lang w:val="zh-CN"/>
        </w:rPr>
        <w:t>会议材料（</w:t>
      </w:r>
      <w:r>
        <w:rPr>
          <w:rFonts w:hint="eastAsia" w:ascii="黑体" w:hAnsi="黑体" w:eastAsia="黑体" w:cs="Times New Roman"/>
          <w:color w:val="000000" w:themeColor="text1"/>
          <w:sz w:val="28"/>
          <w:lang w:val="en-US" w:eastAsia="zh-CN"/>
        </w:rPr>
        <w:t>2</w:t>
      </w:r>
      <w:r>
        <w:rPr>
          <w:rFonts w:ascii="黑体" w:hAnsi="黑体" w:eastAsia="黑体" w:cs="Times New Roman"/>
          <w:color w:val="000000" w:themeColor="text1"/>
          <w:sz w:val="28"/>
          <w:lang w:val="zh-CN"/>
        </w:rPr>
        <w:t>）</w:t>
      </w:r>
    </w:p>
    <w:p w14:paraId="07D778F1">
      <w:pPr>
        <w:widowControl w:val="0"/>
        <w:pBdr>
          <w:bottom w:val="single" w:color="FFFFFF" w:sz="4" w:space="31"/>
        </w:pBdr>
        <w:tabs>
          <w:tab w:val="left" w:pos="2700"/>
          <w:tab w:val="left" w:pos="2996"/>
          <w:tab w:val="left" w:pos="8640"/>
        </w:tabs>
        <w:spacing w:line="600" w:lineRule="exact"/>
        <w:jc w:val="center"/>
        <w:rPr>
          <w:rFonts w:ascii="方正小标宋简体" w:hAnsi="方正小标宋简体" w:eastAsia="方正小标宋简体" w:cs="方正小标宋简体"/>
          <w:color w:val="000000" w:themeColor="text1"/>
          <w:sz w:val="44"/>
          <w:szCs w:val="44"/>
        </w:rPr>
      </w:pPr>
    </w:p>
    <w:p w14:paraId="6B4AF972">
      <w:pPr>
        <w:widowControl w:val="0"/>
        <w:pBdr>
          <w:bottom w:val="single" w:color="FFFFFF" w:sz="4" w:space="31"/>
        </w:pBdr>
        <w:tabs>
          <w:tab w:val="left" w:pos="2700"/>
          <w:tab w:val="left" w:pos="2996"/>
          <w:tab w:val="left" w:pos="8640"/>
        </w:tabs>
        <w:spacing w:line="600" w:lineRule="exact"/>
        <w:jc w:val="center"/>
        <w:rPr>
          <w:rFonts w:hint="eastAsia"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sz w:val="44"/>
          <w:szCs w:val="44"/>
        </w:rPr>
        <w:t>磐石市2024年政府预算执行情况和</w:t>
      </w:r>
      <w:bookmarkEnd w:id="0"/>
      <w:bookmarkEnd w:id="1"/>
      <w:bookmarkEnd w:id="2"/>
      <w:bookmarkStart w:id="3" w:name="_Toc60490299"/>
      <w:bookmarkStart w:id="4" w:name="_Toc60325939"/>
      <w:bookmarkStart w:id="5" w:name="_Toc22681"/>
      <w:r>
        <w:rPr>
          <w:rFonts w:hint="eastAsia" w:ascii="方正小标宋简体" w:hAnsi="方正小标宋简体" w:eastAsia="方正小标宋简体" w:cs="方正小标宋简体"/>
          <w:color w:val="000000" w:themeColor="text1"/>
          <w:sz w:val="44"/>
          <w:szCs w:val="44"/>
        </w:rPr>
        <w:t>2025年政府预算（草案）的报告</w:t>
      </w:r>
      <w:bookmarkEnd w:id="3"/>
      <w:bookmarkEnd w:id="4"/>
      <w:bookmarkEnd w:id="5"/>
      <w:bookmarkStart w:id="6" w:name="_Toc60490300"/>
      <w:bookmarkStart w:id="7" w:name="_Toc60325940"/>
      <w:bookmarkStart w:id="8" w:name="_Toc19981"/>
      <w:bookmarkStart w:id="9" w:name="_Toc60326043"/>
      <w:bookmarkStart w:id="10" w:name="_Toc60325942"/>
      <w:bookmarkStart w:id="11" w:name="_Toc60490302"/>
      <w:bookmarkStart w:id="12" w:name="_Toc21980"/>
      <w:bookmarkStart w:id="13" w:name="_Toc60326045"/>
    </w:p>
    <w:p w14:paraId="06AE755F">
      <w:pPr>
        <w:widowControl w:val="0"/>
        <w:pBdr>
          <w:bottom w:val="single" w:color="FFFFFF" w:sz="4" w:space="31"/>
        </w:pBdr>
        <w:tabs>
          <w:tab w:val="left" w:pos="2700"/>
          <w:tab w:val="left" w:pos="2996"/>
          <w:tab w:val="left" w:pos="8640"/>
        </w:tabs>
        <w:spacing w:line="600" w:lineRule="exact"/>
        <w:jc w:val="center"/>
        <w:rPr>
          <w:rFonts w:hint="eastAsia" w:ascii="仿宋_GB2312" w:hAnsi="方正小标宋简体" w:cs="方正小标宋简体"/>
          <w:color w:val="000000" w:themeColor="text1"/>
          <w:sz w:val="44"/>
          <w:szCs w:val="44"/>
        </w:rPr>
      </w:pPr>
    </w:p>
    <w:p w14:paraId="7CD5B48C">
      <w:pPr>
        <w:widowControl w:val="0"/>
        <w:pBdr>
          <w:bottom w:val="single" w:color="FFFFFF" w:sz="4" w:space="31"/>
        </w:pBdr>
        <w:tabs>
          <w:tab w:val="left" w:pos="2700"/>
          <w:tab w:val="left" w:pos="2996"/>
          <w:tab w:val="left" w:pos="8640"/>
        </w:tabs>
        <w:spacing w:line="600" w:lineRule="exact"/>
        <w:jc w:val="center"/>
        <w:rPr>
          <w:rFonts w:hint="eastAsia" w:ascii="楷体_GB2312" w:hAnsi="楷体_GB2312" w:eastAsia="楷体_GB2312" w:cs="楷体_GB2312"/>
          <w:color w:val="000000" w:themeColor="text1"/>
        </w:rPr>
      </w:pPr>
      <w:r>
        <w:rPr>
          <w:rFonts w:hint="eastAsia" w:ascii="楷体_GB2312" w:hAnsi="楷体_GB2312" w:eastAsia="楷体_GB2312" w:cs="楷体_GB2312"/>
          <w:color w:val="000000" w:themeColor="text1"/>
        </w:rPr>
        <w:t>——2024年</w:t>
      </w:r>
      <w:r>
        <w:rPr>
          <w:rFonts w:hint="eastAsia" w:ascii="楷体_GB2312" w:hAnsi="楷体_GB2312" w:eastAsia="楷体_GB2312" w:cs="楷体_GB2312"/>
          <w:color w:val="000000" w:themeColor="text1"/>
          <w:lang w:val="en-US" w:eastAsia="zh-CN"/>
        </w:rPr>
        <w:t>12</w:t>
      </w:r>
      <w:r>
        <w:rPr>
          <w:rFonts w:hint="eastAsia" w:ascii="楷体_GB2312" w:hAnsi="楷体_GB2312" w:eastAsia="楷体_GB2312" w:cs="楷体_GB2312"/>
          <w:color w:val="000000" w:themeColor="text1"/>
        </w:rPr>
        <w:t>月</w:t>
      </w:r>
      <w:r>
        <w:rPr>
          <w:rFonts w:hint="eastAsia" w:ascii="楷体_GB2312" w:hAnsi="楷体_GB2312" w:eastAsia="楷体_GB2312" w:cs="楷体_GB2312"/>
          <w:color w:val="000000" w:themeColor="text1"/>
          <w:lang w:val="en-US" w:eastAsia="zh-CN"/>
        </w:rPr>
        <w:t>27</w:t>
      </w:r>
      <w:r>
        <w:rPr>
          <w:rFonts w:hint="eastAsia" w:ascii="楷体_GB2312" w:hAnsi="楷体_GB2312" w:eastAsia="楷体_GB2312" w:cs="楷体_GB2312"/>
          <w:color w:val="000000" w:themeColor="text1"/>
        </w:rPr>
        <w:t>日在磐石市第十九届</w:t>
      </w:r>
      <w:bookmarkEnd w:id="6"/>
      <w:bookmarkEnd w:id="7"/>
      <w:bookmarkEnd w:id="8"/>
      <w:bookmarkEnd w:id="9"/>
      <w:bookmarkStart w:id="14" w:name="_Toc60490301"/>
      <w:bookmarkStart w:id="15" w:name="_Toc25398"/>
      <w:bookmarkStart w:id="16" w:name="_Toc60325941"/>
      <w:bookmarkStart w:id="17" w:name="_Toc60326044"/>
    </w:p>
    <w:p w14:paraId="146BA631">
      <w:pPr>
        <w:widowControl w:val="0"/>
        <w:pBdr>
          <w:bottom w:val="single" w:color="FFFFFF" w:sz="4" w:space="31"/>
        </w:pBdr>
        <w:tabs>
          <w:tab w:val="left" w:pos="2700"/>
          <w:tab w:val="left" w:pos="2996"/>
          <w:tab w:val="left" w:pos="8640"/>
        </w:tabs>
        <w:spacing w:line="600" w:lineRule="exact"/>
        <w:jc w:val="center"/>
        <w:rPr>
          <w:rFonts w:hint="eastAsia" w:ascii="楷体_GB2312" w:hAnsi="楷体_GB2312" w:eastAsia="楷体_GB2312" w:cs="楷体_GB2312"/>
          <w:color w:val="000000" w:themeColor="text1"/>
        </w:rPr>
      </w:pPr>
      <w:r>
        <w:rPr>
          <w:rFonts w:hint="eastAsia" w:ascii="楷体_GB2312" w:hAnsi="楷体_GB2312" w:eastAsia="楷体_GB2312" w:cs="楷体_GB2312"/>
          <w:color w:val="000000" w:themeColor="text1"/>
        </w:rPr>
        <w:t>人民代表大会第四次会议上</w:t>
      </w:r>
      <w:bookmarkEnd w:id="14"/>
      <w:bookmarkEnd w:id="15"/>
      <w:bookmarkEnd w:id="16"/>
      <w:bookmarkEnd w:id="17"/>
    </w:p>
    <w:p w14:paraId="15197827">
      <w:pPr>
        <w:widowControl w:val="0"/>
        <w:pBdr>
          <w:bottom w:val="single" w:color="FFFFFF" w:sz="4" w:space="31"/>
        </w:pBdr>
        <w:tabs>
          <w:tab w:val="left" w:pos="2700"/>
          <w:tab w:val="left" w:pos="2996"/>
          <w:tab w:val="left" w:pos="8640"/>
        </w:tabs>
        <w:spacing w:line="600" w:lineRule="exact"/>
        <w:jc w:val="center"/>
        <w:rPr>
          <w:rFonts w:hint="eastAsia" w:ascii="楷体_GB2312" w:hAnsi="楷体_GB2312" w:eastAsia="楷体_GB2312" w:cs="楷体_GB2312"/>
          <w:color w:val="000000" w:themeColor="text1"/>
        </w:rPr>
      </w:pPr>
      <w:r>
        <w:rPr>
          <w:rFonts w:hint="eastAsia" w:ascii="楷体_GB2312" w:hAnsi="楷体_GB2312" w:eastAsia="楷体_GB2312" w:cs="楷体_GB2312"/>
          <w:color w:val="000000" w:themeColor="text1"/>
        </w:rPr>
        <w:t xml:space="preserve">市财政局局长  </w:t>
      </w:r>
      <w:bookmarkEnd w:id="10"/>
      <w:bookmarkEnd w:id="11"/>
      <w:bookmarkEnd w:id="12"/>
      <w:bookmarkEnd w:id="13"/>
      <w:r>
        <w:rPr>
          <w:rFonts w:hint="eastAsia" w:ascii="楷体_GB2312" w:hAnsi="楷体_GB2312" w:eastAsia="楷体_GB2312" w:cs="楷体_GB2312"/>
          <w:color w:val="000000" w:themeColor="text1"/>
        </w:rPr>
        <w:t>王延军</w:t>
      </w:r>
    </w:p>
    <w:p w14:paraId="35F162E4">
      <w:pPr>
        <w:widowControl w:val="0"/>
        <w:pBdr>
          <w:bottom w:val="single" w:color="FFFFFF" w:sz="4" w:space="31"/>
        </w:pBdr>
        <w:tabs>
          <w:tab w:val="left" w:pos="2700"/>
          <w:tab w:val="left" w:pos="2996"/>
          <w:tab w:val="left" w:pos="8640"/>
        </w:tabs>
        <w:spacing w:line="600" w:lineRule="exact"/>
        <w:jc w:val="center"/>
        <w:rPr>
          <w:rFonts w:ascii="楷体" w:hAnsi="楷体" w:eastAsia="楷体"/>
          <w:color w:val="000000" w:themeColor="text1"/>
        </w:rPr>
      </w:pPr>
    </w:p>
    <w:p w14:paraId="74F50814">
      <w:pPr>
        <w:widowControl w:val="0"/>
        <w:pBdr>
          <w:bottom w:val="single" w:color="FFFFFF" w:sz="4" w:space="31"/>
        </w:pBdr>
        <w:tabs>
          <w:tab w:val="left" w:pos="2700"/>
          <w:tab w:val="left" w:pos="2996"/>
          <w:tab w:val="left" w:pos="8640"/>
        </w:tabs>
        <w:spacing w:line="600" w:lineRule="exact"/>
        <w:jc w:val="left"/>
        <w:rPr>
          <w:rFonts w:hint="eastAsia" w:ascii="仿宋_GB2312" w:hAnsi="仿宋_GB2312" w:eastAsia="仿宋_GB2312" w:cs="仿宋_GB2312"/>
          <w:color w:val="000000" w:themeColor="text1"/>
          <w:lang w:val="en-US" w:eastAsia="zh-CN"/>
        </w:rPr>
      </w:pPr>
      <w:r>
        <w:rPr>
          <w:rFonts w:hint="eastAsia" w:ascii="仿宋_GB2312" w:hAnsi="仿宋_GB2312" w:eastAsia="仿宋_GB2312" w:cs="仿宋_GB2312"/>
          <w:color w:val="000000" w:themeColor="text1"/>
          <w:lang w:val="en-US" w:eastAsia="zh-CN"/>
        </w:rPr>
        <w:t>各位代表：</w:t>
      </w:r>
    </w:p>
    <w:p w14:paraId="50CB7153">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lang w:val="en-US" w:eastAsia="zh-CN"/>
        </w:rPr>
        <w:t>我</w:t>
      </w:r>
      <w:r>
        <w:rPr>
          <w:rFonts w:hint="eastAsia" w:ascii="仿宋_GB2312" w:cs="Times New Roman"/>
          <w:color w:val="000000" w:themeColor="text1"/>
          <w:szCs w:val="32"/>
        </w:rPr>
        <w:t>受市人民政府委托，向大会作磐石市2024年政府预算执行情况和2025年政府预算（草案）的报告，请予审议。</w:t>
      </w:r>
    </w:p>
    <w:p w14:paraId="3B3FFB0F">
      <w:pPr>
        <w:widowControl w:val="0"/>
        <w:pBdr>
          <w:bottom w:val="single" w:color="FFFFFF" w:sz="4" w:space="31"/>
        </w:pBdr>
        <w:tabs>
          <w:tab w:val="left" w:pos="2700"/>
          <w:tab w:val="left" w:pos="2996"/>
          <w:tab w:val="left" w:pos="8640"/>
        </w:tabs>
        <w:spacing w:line="600" w:lineRule="exact"/>
        <w:ind w:firstLine="640" w:firstLineChars="200"/>
        <w:jc w:val="both"/>
        <w:rPr>
          <w:rFonts w:ascii="黑体" w:hAnsi="黑体" w:eastAsia="黑体" w:cs="Times New Roman"/>
          <w:color w:val="000000" w:themeColor="text1"/>
          <w:szCs w:val="32"/>
        </w:rPr>
      </w:pPr>
      <w:r>
        <w:rPr>
          <w:rFonts w:hint="eastAsia" w:ascii="黑体" w:hAnsi="黑体" w:eastAsia="黑体" w:cs="Times New Roman"/>
          <w:color w:val="000000" w:themeColor="text1"/>
          <w:szCs w:val="32"/>
        </w:rPr>
        <w:t>一、2024年政府预算执行情况</w:t>
      </w:r>
    </w:p>
    <w:p w14:paraId="5110D6B3">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2024年，市财政局坚定不移地以习近平新时代中国特色社会主义思想为行动指南，深入贯彻中央及省、市的决策部署，在市委的坚强领导和市人大、政协的有效监督下，严格执行市十九届人大三次会议关于预算的决议，牢固树立“过紧日子”的理念，坚持问题导向，强化结果运用，立足当下重点，持续优化财政支出结构，力求精准高效与可持续发展并重，坚决守住不发生重大风险底线，确保全市财政运行及预算执行的总体平稳。</w:t>
      </w:r>
    </w:p>
    <w:p w14:paraId="1AD67F82">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color w:val="000000" w:themeColor="text1"/>
          <w:szCs w:val="32"/>
        </w:rPr>
        <w:t>（一）一般公共预算收入预计完成情况。</w:t>
      </w:r>
      <w:r>
        <w:rPr>
          <w:rFonts w:hint="eastAsia" w:ascii="仿宋_GB2312" w:cs="Times New Roman"/>
          <w:color w:val="000000" w:themeColor="text1"/>
          <w:szCs w:val="32"/>
        </w:rPr>
        <w:t>2024年，全市财政一般公共预算全口径收入预计实现118,751万元，完成年调后计划的100%，较2023年120,817万元下降1.7%，地方级收入预计实现73,000万元，完成年调后计划的100%，较2023年72,154万元上升1.2%。</w:t>
      </w:r>
    </w:p>
    <w:p w14:paraId="32D256E9">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color w:val="000000" w:themeColor="text1"/>
          <w:szCs w:val="32"/>
        </w:rPr>
        <w:t>（二）一般公共预算支出预计完成情况。</w:t>
      </w:r>
      <w:r>
        <w:rPr>
          <w:rFonts w:hint="eastAsia" w:ascii="仿宋_GB2312" w:cs="Times New Roman"/>
          <w:color w:val="000000" w:themeColor="text1"/>
          <w:szCs w:val="32"/>
        </w:rPr>
        <w:t>2024年，一般公共预算支出预计完成</w:t>
      </w:r>
      <w:r>
        <w:rPr>
          <w:rFonts w:hint="eastAsia" w:ascii="仿宋_GB2312" w:cs="Times New Roman"/>
          <w:color w:val="000000" w:themeColor="text1"/>
          <w:szCs w:val="32"/>
          <w:lang w:val="en-US" w:eastAsia="zh-CN"/>
        </w:rPr>
        <w:t>453,289</w:t>
      </w:r>
      <w:r>
        <w:rPr>
          <w:rFonts w:hint="eastAsia" w:ascii="仿宋_GB2312" w:cs="Times New Roman"/>
          <w:color w:val="000000" w:themeColor="text1"/>
          <w:szCs w:val="32"/>
        </w:rPr>
        <w:t>万元（其中市本级支出</w:t>
      </w:r>
      <w:r>
        <w:rPr>
          <w:rFonts w:hint="eastAsia" w:ascii="仿宋_GB2312" w:cs="Times New Roman"/>
          <w:color w:val="000000" w:themeColor="text1"/>
          <w:szCs w:val="32"/>
          <w:lang w:val="en-US" w:eastAsia="zh-CN"/>
        </w:rPr>
        <w:t>234,425</w:t>
      </w:r>
      <w:r>
        <w:rPr>
          <w:rFonts w:hint="eastAsia" w:ascii="仿宋_GB2312" w:cs="Times New Roman"/>
          <w:color w:val="000000" w:themeColor="text1"/>
          <w:szCs w:val="32"/>
        </w:rPr>
        <w:t>万元）。</w:t>
      </w:r>
    </w:p>
    <w:p w14:paraId="028A7882">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主要支出项目情况如下：</w:t>
      </w:r>
    </w:p>
    <w:p w14:paraId="0A82A9C2">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（1）一般公共服务支出35</w:t>
      </w:r>
      <w:r>
        <w:rPr>
          <w:rFonts w:hint="eastAsia" w:ascii="仿宋_GB2312" w:cs="Times New Roman"/>
          <w:color w:val="000000" w:themeColor="text1"/>
          <w:szCs w:val="32"/>
          <w:lang w:val="en-US" w:eastAsia="zh-CN"/>
        </w:rPr>
        <w:t>,</w:t>
      </w:r>
      <w:r>
        <w:rPr>
          <w:rFonts w:hint="eastAsia" w:ascii="仿宋_GB2312" w:cs="Times New Roman"/>
          <w:color w:val="000000" w:themeColor="text1"/>
          <w:szCs w:val="32"/>
        </w:rPr>
        <w:t>251万元,其中市本级28,157万元；</w:t>
      </w:r>
    </w:p>
    <w:p w14:paraId="58463806">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（2）国防支出222万元，其中市本级81万元；</w:t>
      </w:r>
    </w:p>
    <w:p w14:paraId="054C796A">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（3）公共安全支出13,337万元，其中市本级11,361万元；</w:t>
      </w:r>
    </w:p>
    <w:p w14:paraId="1BC24319">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（4）教育支出64,165万元，其中市本级53,265万元；</w:t>
      </w:r>
    </w:p>
    <w:p w14:paraId="30D560B6">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（5）科学技术支出138万元，其中市本级115万元；</w:t>
      </w:r>
    </w:p>
    <w:p w14:paraId="6F9EE680">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（6）文化体育与传媒支出3,153万元，其中市本级2,183万元；</w:t>
      </w:r>
    </w:p>
    <w:p w14:paraId="2CC0BF94">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（7）社会保障和就业支出102,249万元，其中市本级23,594万元；</w:t>
      </w:r>
    </w:p>
    <w:p w14:paraId="3A975E4F">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（8）医疗卫生与计划生育支出30,516万元，其中市本级23,593万元；</w:t>
      </w:r>
    </w:p>
    <w:p w14:paraId="12BEF295">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（9）节能环保支出11,857万元，其中市本级360万元；</w:t>
      </w:r>
    </w:p>
    <w:p w14:paraId="0399A061">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（10）城乡社区支出44,133万元</w:t>
      </w:r>
      <w:r>
        <w:rPr>
          <w:rFonts w:hint="eastAsia" w:ascii="仿宋_GB2312" w:cs="Times New Roman"/>
          <w:color w:val="000000" w:themeColor="text1"/>
          <w:szCs w:val="32"/>
          <w:lang w:eastAsia="zh-CN"/>
        </w:rPr>
        <w:t>，</w:t>
      </w:r>
      <w:r>
        <w:rPr>
          <w:rFonts w:hint="eastAsia" w:ascii="仿宋_GB2312" w:cs="Times New Roman"/>
          <w:color w:val="000000" w:themeColor="text1"/>
          <w:szCs w:val="32"/>
        </w:rPr>
        <w:t>其中市本级39,822万元（含新增一般债券支出19,754万元）；</w:t>
      </w:r>
    </w:p>
    <w:p w14:paraId="7BBC1BE8">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（11）农林水支出94,619万元，其中市本级11,581万元；</w:t>
      </w:r>
    </w:p>
    <w:p w14:paraId="58CBA68C">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（12）交通运输支出8,469万元，其中市本级1,423万元；</w:t>
      </w:r>
    </w:p>
    <w:p w14:paraId="369A91BA">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（13）资源勘探信息等支出15,008万元，其中市本级12,750万元；</w:t>
      </w:r>
    </w:p>
    <w:p w14:paraId="511DB53E">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（14）商业服务业等支出987万元，其中市本级272万元；</w:t>
      </w:r>
    </w:p>
    <w:p w14:paraId="7BDCEEA0">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（15）国土海洋气象等支出1,215万元，其中市本级1,025万元；</w:t>
      </w:r>
    </w:p>
    <w:p w14:paraId="3E7E064B">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（16）住房保障支出11,183万元，其中市本级9,684万元；</w:t>
      </w:r>
    </w:p>
    <w:p w14:paraId="584A01A3">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（17）粮油物资储备支出769万元，其中市本级346万元；</w:t>
      </w:r>
    </w:p>
    <w:p w14:paraId="4948CEF8">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（18）灾害防治和应急管理支出1,910万元，其中市本级1,555万元；</w:t>
      </w:r>
    </w:p>
    <w:p w14:paraId="39405DF8">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（19）其他支出850万元；</w:t>
      </w:r>
    </w:p>
    <w:p w14:paraId="34352254">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（20）债务付息支出13,215万元，</w:t>
      </w:r>
      <w:r>
        <w:rPr>
          <w:rFonts w:hint="eastAsia" w:ascii="仿宋_GB2312" w:cs="Times New Roman"/>
          <w:color w:val="000000" w:themeColor="text1"/>
          <w:szCs w:val="32"/>
          <w:lang w:val="en-US" w:eastAsia="zh-CN"/>
        </w:rPr>
        <w:t>为市本级支出</w:t>
      </w:r>
      <w:r>
        <w:rPr>
          <w:rFonts w:hint="eastAsia" w:ascii="仿宋_GB2312" w:cs="Times New Roman"/>
          <w:color w:val="000000" w:themeColor="text1"/>
          <w:szCs w:val="32"/>
        </w:rPr>
        <w:t>；</w:t>
      </w:r>
    </w:p>
    <w:p w14:paraId="49107F08">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（21）债务发行费用支出</w:t>
      </w:r>
      <w:r>
        <w:rPr>
          <w:rFonts w:hint="eastAsia" w:ascii="仿宋_GB2312" w:cs="Times New Roman"/>
          <w:color w:val="000000" w:themeColor="text1"/>
          <w:szCs w:val="32"/>
          <w:lang w:val="en-US" w:eastAsia="zh-CN"/>
        </w:rPr>
        <w:t>43万</w:t>
      </w:r>
      <w:r>
        <w:rPr>
          <w:rFonts w:hint="eastAsia" w:ascii="仿宋_GB2312" w:cs="Times New Roman"/>
          <w:color w:val="000000" w:themeColor="text1"/>
          <w:szCs w:val="32"/>
        </w:rPr>
        <w:t>元，</w:t>
      </w:r>
      <w:r>
        <w:rPr>
          <w:rFonts w:hint="eastAsia" w:ascii="仿宋_GB2312" w:cs="Times New Roman"/>
          <w:color w:val="000000" w:themeColor="text1"/>
          <w:szCs w:val="32"/>
          <w:lang w:val="en-US" w:eastAsia="zh-CN"/>
        </w:rPr>
        <w:t>为市本级支出</w:t>
      </w:r>
      <w:r>
        <w:rPr>
          <w:rFonts w:hint="eastAsia" w:ascii="仿宋_GB2312" w:cs="Times New Roman"/>
          <w:color w:val="000000" w:themeColor="text1"/>
          <w:szCs w:val="32"/>
        </w:rPr>
        <w:t>。</w:t>
      </w:r>
    </w:p>
    <w:p w14:paraId="468579BF">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仿宋_GB2312" w:cs="Times New Roman"/>
          <w:color w:val="000000" w:themeColor="text1"/>
          <w:szCs w:val="32"/>
        </w:rPr>
        <w:t>2024年预计总财力为605,850万元，其中：地方级收入73,000万元、省财力性补助收入119,840万元、省专项补助181,094万元、债务转贷收入48,176万元、调入预算稳定调节基金41,297万元、调入资金48,963万元、上年结转93,480万元。一般公共预算总支出计划605,850万元，其中：预算支出447,239万元（含新增一般债券支出5,055万元），上解上级支出17,247万元, 债务还本支出35,485万元，安排预算稳定调节基金支出40,000万元，年终结余65,879万元，是一个平衡的预算。</w:t>
      </w:r>
    </w:p>
    <w:p w14:paraId="19F691AE">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color w:val="000000" w:themeColor="text1"/>
          <w:szCs w:val="32"/>
        </w:rPr>
        <w:t>（三）政府性基金预算收支情况。</w:t>
      </w:r>
      <w:r>
        <w:rPr>
          <w:rFonts w:hint="eastAsia" w:ascii="仿宋_GB2312" w:cs="Times New Roman"/>
          <w:color w:val="000000" w:themeColor="text1"/>
          <w:szCs w:val="32"/>
        </w:rPr>
        <w:t>2024年政府性基金预算收入预计完成28,790万元，上级补助预计收入22,733万元，债务转贷预计收入52,220万元，上年结转结余2,796万元，政府性基金预计总收入106,539万元。政府性基金预算预计支出41,737万元，债务还本预计支出39,000万元，年终结余25,802万元，总支出预计完成106,539万元，收支平衡。</w:t>
      </w:r>
    </w:p>
    <w:p w14:paraId="667E1415">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color w:val="000000" w:themeColor="text1"/>
          <w:szCs w:val="32"/>
        </w:rPr>
        <w:t>（四）政府性债务预算执行情况。</w:t>
      </w:r>
      <w:r>
        <w:rPr>
          <w:rFonts w:hint="eastAsia" w:ascii="仿宋_GB2312" w:cs="Times New Roman"/>
          <w:color w:val="000000" w:themeColor="text1"/>
          <w:szCs w:val="32"/>
        </w:rPr>
        <w:t>2024年初，全市政府债务余额为810,773.87万元，2024年发行新增债券28,306万元，发行再融资债务</w:t>
      </w:r>
      <w:r>
        <w:rPr>
          <w:rFonts w:hint="eastAsia" w:ascii="仿宋_GB2312" w:cs="Times New Roman"/>
          <w:color w:val="000000" w:themeColor="text1"/>
          <w:szCs w:val="32"/>
          <w:lang w:val="en-US" w:eastAsia="zh-CN"/>
        </w:rPr>
        <w:t>72,090</w:t>
      </w:r>
      <w:r>
        <w:rPr>
          <w:rFonts w:hint="eastAsia" w:ascii="仿宋_GB2312" w:cs="Times New Roman"/>
          <w:color w:val="000000" w:themeColor="text1"/>
          <w:szCs w:val="32"/>
        </w:rPr>
        <w:t>万元，偿还债务35,6</w:t>
      </w:r>
      <w:r>
        <w:rPr>
          <w:rFonts w:hint="eastAsia" w:ascii="仿宋_GB2312" w:cs="Times New Roman"/>
          <w:color w:val="000000" w:themeColor="text1"/>
          <w:szCs w:val="32"/>
          <w:lang w:val="en-US" w:eastAsia="zh-CN"/>
        </w:rPr>
        <w:t>79</w:t>
      </w:r>
      <w:r>
        <w:rPr>
          <w:rFonts w:hint="eastAsia" w:ascii="仿宋_GB2312" w:cs="Times New Roman"/>
          <w:color w:val="000000" w:themeColor="text1"/>
          <w:szCs w:val="32"/>
        </w:rPr>
        <w:t>.5万元。2024年末债务余额预计为875,490.37万元，控制在省定政府债务限额879,254.5万元内，无债务风险。</w:t>
      </w:r>
    </w:p>
    <w:p w14:paraId="77521DEB">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color w:val="000000" w:themeColor="text1"/>
          <w:szCs w:val="32"/>
        </w:rPr>
        <w:t>（五）直达资金执行情况。</w:t>
      </w:r>
      <w:r>
        <w:rPr>
          <w:rFonts w:hint="eastAsia" w:ascii="仿宋_GB2312" w:cs="Times New Roman"/>
          <w:color w:val="000000" w:themeColor="text1"/>
          <w:szCs w:val="32"/>
        </w:rPr>
        <w:t>2024年上级下达给我市直达资金共计99,365万元，其中中央级74,349万元，省级25,016万元，已全部分配下达完毕，分配率为100%。已完成直达资金支出共计83,126万元，拨付进度83.7%。其中中央级60,698万元，支出进度81.6%；省级22,428万元，支出进度89.7%。</w:t>
      </w:r>
    </w:p>
    <w:p w14:paraId="7F2BE99F">
      <w:pPr>
        <w:widowControl w:val="0"/>
        <w:pBdr>
          <w:bottom w:val="single" w:color="FFFFFF" w:sz="4" w:space="31"/>
        </w:pBdr>
        <w:tabs>
          <w:tab w:val="left" w:pos="2700"/>
          <w:tab w:val="left" w:pos="2996"/>
          <w:tab w:val="left" w:pos="8640"/>
        </w:tabs>
        <w:spacing w:line="600" w:lineRule="exact"/>
        <w:ind w:firstLine="640" w:firstLineChars="200"/>
        <w:jc w:val="both"/>
        <w:rPr>
          <w:rFonts w:ascii="黑体" w:hAnsi="黑体" w:eastAsia="黑体" w:cs="Times New Roman"/>
          <w:color w:val="000000" w:themeColor="text1"/>
          <w:szCs w:val="32"/>
        </w:rPr>
      </w:pPr>
      <w:r>
        <w:rPr>
          <w:rFonts w:hint="eastAsia" w:ascii="黑体" w:hAnsi="黑体" w:eastAsia="黑体" w:cs="Times New Roman"/>
          <w:color w:val="000000" w:themeColor="text1"/>
          <w:szCs w:val="32"/>
        </w:rPr>
        <w:t>二、2024年财政重点工作实施情况</w:t>
      </w:r>
    </w:p>
    <w:p w14:paraId="6009A89B">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b w:val="0"/>
          <w:bCs w:val="0"/>
          <w:color w:val="000000" w:themeColor="text1"/>
          <w:szCs w:val="32"/>
        </w:rPr>
        <w:t>（一）紧扣目标任务，聚焦增收强财力，全面增强发展核心竞争力。</w:t>
      </w:r>
      <w:r>
        <w:rPr>
          <w:rFonts w:hint="eastAsia" w:ascii="仿宋_GB2312" w:cs="Times New Roman"/>
          <w:color w:val="000000" w:themeColor="text1"/>
          <w:szCs w:val="32"/>
        </w:rPr>
        <w:t>①强化财源建设。多维度深入挖掘并培养税源潜力，激发市场活力，构建科学可持续的财源体系。2024年依托综合治税平台，配合税务局清理企业欠税，加强外阜施工企业预缴管理工作，预计全年可征收税款1,686万元。②争取上级资金。洞悉政策动向，积极向上争取政策与资金支持。截至目前，累计争取各类补助资金共计364,401万元，其中：获得地方政府债券资金</w:t>
      </w:r>
      <w:r>
        <w:rPr>
          <w:rFonts w:hint="eastAsia" w:ascii="仿宋_GB2312" w:cs="Times New Roman"/>
          <w:color w:val="000000" w:themeColor="text1"/>
          <w:szCs w:val="32"/>
          <w:lang w:val="en-US" w:eastAsia="zh-CN"/>
        </w:rPr>
        <w:t>100,396</w:t>
      </w:r>
      <w:r>
        <w:rPr>
          <w:rFonts w:hint="eastAsia" w:ascii="仿宋_GB2312" w:cs="Times New Roman"/>
          <w:color w:val="000000" w:themeColor="text1"/>
          <w:szCs w:val="32"/>
        </w:rPr>
        <w:t>万元，发行一般债券和专项债券项目</w:t>
      </w:r>
      <w:r>
        <w:rPr>
          <w:rFonts w:hint="eastAsia" w:ascii="仿宋_GB2312" w:cs="Times New Roman"/>
          <w:color w:val="000000" w:themeColor="text1"/>
          <w:szCs w:val="32"/>
          <w:lang w:val="en-US" w:eastAsia="zh-CN"/>
        </w:rPr>
        <w:t>11</w:t>
      </w:r>
      <w:r>
        <w:rPr>
          <w:rFonts w:hint="eastAsia" w:ascii="仿宋_GB2312" w:cs="Times New Roman"/>
          <w:color w:val="000000" w:themeColor="text1"/>
          <w:szCs w:val="32"/>
        </w:rPr>
        <w:t>个，发行金额</w:t>
      </w:r>
      <w:r>
        <w:rPr>
          <w:rFonts w:hint="eastAsia" w:ascii="仿宋_GB2312" w:cs="Times New Roman"/>
          <w:color w:val="000000" w:themeColor="text1"/>
          <w:szCs w:val="32"/>
          <w:lang w:val="en-US" w:eastAsia="zh-CN"/>
        </w:rPr>
        <w:t>28,306</w:t>
      </w:r>
      <w:r>
        <w:rPr>
          <w:rFonts w:hint="eastAsia" w:ascii="仿宋_GB2312" w:cs="Times New Roman"/>
          <w:color w:val="000000" w:themeColor="text1"/>
          <w:szCs w:val="32"/>
        </w:rPr>
        <w:t>万元，储备申报债券项目</w:t>
      </w:r>
      <w:r>
        <w:rPr>
          <w:rFonts w:hint="eastAsia" w:ascii="仿宋_GB2312" w:cs="Times New Roman"/>
          <w:color w:val="000000" w:themeColor="text1"/>
          <w:szCs w:val="32"/>
          <w:lang w:val="en-US" w:eastAsia="zh-CN"/>
        </w:rPr>
        <w:t>63</w:t>
      </w:r>
      <w:r>
        <w:rPr>
          <w:rFonts w:hint="eastAsia" w:ascii="仿宋_GB2312" w:cs="Times New Roman"/>
          <w:color w:val="000000" w:themeColor="text1"/>
          <w:szCs w:val="32"/>
        </w:rPr>
        <w:t>个。③盘活资金资产存量。着力盘活财政存量资金，积极探索盘活闲置资产途径，提高资产使用效率，不断提高财政资金使用效益。截至目前盘活收入</w:t>
      </w:r>
      <w:r>
        <w:rPr>
          <w:rFonts w:hint="eastAsia" w:ascii="仿宋_GB2312" w:cs="Times New Roman"/>
          <w:color w:val="000000" w:themeColor="text1"/>
          <w:szCs w:val="32"/>
          <w:lang w:val="en-US" w:eastAsia="zh-CN"/>
        </w:rPr>
        <w:t>29,565.14</w:t>
      </w:r>
      <w:r>
        <w:rPr>
          <w:rFonts w:hint="eastAsia" w:ascii="仿宋_GB2312" w:cs="Times New Roman"/>
          <w:color w:val="000000" w:themeColor="text1"/>
          <w:szCs w:val="32"/>
        </w:rPr>
        <w:t>万元，含行政事业单位29,177.22万元，市属国有企业</w:t>
      </w:r>
      <w:r>
        <w:rPr>
          <w:rFonts w:hint="eastAsia" w:ascii="仿宋_GB2312" w:cs="Times New Roman"/>
          <w:color w:val="000000" w:themeColor="text1"/>
          <w:szCs w:val="32"/>
          <w:lang w:val="en-US" w:eastAsia="zh-CN"/>
        </w:rPr>
        <w:t>387.92</w:t>
      </w:r>
      <w:r>
        <w:rPr>
          <w:rFonts w:hint="eastAsia" w:ascii="仿宋_GB2312" w:cs="Times New Roman"/>
          <w:color w:val="000000" w:themeColor="text1"/>
          <w:szCs w:val="32"/>
        </w:rPr>
        <w:t>万元。④全面开展债权清收工作。制定清收方案，下达清收任务。截至11月30日，已收回8,500.62万元，含行政事业单位1,872.99万元和市属国企6,627.63万元。</w:t>
      </w:r>
    </w:p>
    <w:p w14:paraId="1203DEA8">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b w:val="0"/>
          <w:bCs w:val="0"/>
          <w:color w:val="000000" w:themeColor="text1"/>
          <w:szCs w:val="32"/>
        </w:rPr>
        <w:t>（二）面对债务风险，全力防范守住底线，全面增强财政风险抵御能力。</w:t>
      </w:r>
      <w:r>
        <w:rPr>
          <w:rFonts w:hint="eastAsia" w:ascii="仿宋_GB2312" w:cs="Times New Roman"/>
          <w:color w:val="000000" w:themeColor="text1"/>
          <w:szCs w:val="32"/>
        </w:rPr>
        <w:t>①增强风险防控效能。坚持底线思维，落实工作责任，严守违规举债红线,强化债务审批流程，加大违规举债惩罚力度，强化风险辨识与评估技能，完善风险预警及协同管理机制，提高风险防御与应急处理能力。②化解存量债务。通过预算安排、盘活财政存量资金、处置资产、核销核减等多种方式化解债务，增加财力，提升风险防控和应对处置能力。</w:t>
      </w:r>
    </w:p>
    <w:p w14:paraId="074FB4DB">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hAnsi="方正仿宋简体" w:cs="方正仿宋简体"/>
          <w:color w:val="000000" w:themeColor="text1"/>
          <w:szCs w:val="32"/>
        </w:rPr>
      </w:pPr>
      <w:r>
        <w:rPr>
          <w:rFonts w:hint="eastAsia" w:ascii="楷体_GB2312" w:hAnsi="楷体_GB2312" w:eastAsia="楷体_GB2312" w:cs="楷体_GB2312"/>
          <w:b w:val="0"/>
          <w:bCs w:val="0"/>
          <w:color w:val="000000" w:themeColor="text1"/>
          <w:szCs w:val="32"/>
        </w:rPr>
        <w:t>（三）围绕“三保”底线，坚持保压有度原则，全面提升资金管控力。</w:t>
      </w:r>
      <w:r>
        <w:rPr>
          <w:rFonts w:hint="eastAsia" w:ascii="仿宋_GB2312" w:hAnsi="方正仿宋简体" w:cs="方正仿宋简体"/>
          <w:color w:val="000000" w:themeColor="text1"/>
          <w:szCs w:val="32"/>
        </w:rPr>
        <w:t>①严控“三公”经费。严格削减一般性支出，对人员、车辆、会议等费用实施严格限制，坚决杜绝铺张浪费，确保“三公”经费只减不增。②优先保障“三保”。坚持“先有预算，后有支出”，严把支出关口，确保资金优先满足“三保”等刚性支出。</w:t>
      </w:r>
    </w:p>
    <w:p w14:paraId="2891397E">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cs="Times New Roman"/>
          <w:color w:val="000000" w:themeColor="text1"/>
          <w:szCs w:val="32"/>
        </w:rPr>
      </w:pPr>
      <w:r>
        <w:rPr>
          <w:rFonts w:hint="eastAsia" w:ascii="楷体_GB2312" w:hAnsi="楷体_GB2312" w:eastAsia="楷体_GB2312" w:cs="楷体_GB2312"/>
          <w:b w:val="0"/>
          <w:bCs w:val="0"/>
          <w:color w:val="000000" w:themeColor="text1"/>
          <w:szCs w:val="32"/>
        </w:rPr>
        <w:t>（四）履行金融职责，开展金融帮扶宣传工作，全力防范金融风险。</w:t>
      </w:r>
      <w:r>
        <w:rPr>
          <w:rFonts w:hint="eastAsia" w:ascii="仿宋_GB2312" w:cs="Times New Roman"/>
          <w:color w:val="000000" w:themeColor="text1"/>
          <w:szCs w:val="32"/>
        </w:rPr>
        <w:t>帮扶“吉农金服”加快村级金融服务站建设，推进整村授信，目前已建立238个村级服务站，占全市行政村比例达到89%。摸清拟上市企业情况，帮助企业申请上市奖励资金，带动更多企业上市融资。开展全市防范化解金融风险宣传工作，印制金融政策手册分发到全市268个村973个屯，提高金融政策宣传力度，确保金融领域健康稳定发展。</w:t>
      </w:r>
    </w:p>
    <w:p w14:paraId="77DE2648">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 w:val="0"/>
          <w:bCs w:val="0"/>
          <w:color w:val="000000" w:themeColor="text1"/>
          <w:szCs w:val="32"/>
        </w:rPr>
        <w:t>（五）聚焦重大事项，着力保重点稳全局，全面提升支出保障力。</w:t>
      </w:r>
      <w:r>
        <w:rPr>
          <w:rFonts w:hint="eastAsia" w:ascii="仿宋_GB2312" w:cs="Times New Roman"/>
          <w:color w:val="000000" w:themeColor="text1"/>
          <w:szCs w:val="32"/>
        </w:rPr>
        <w:t>①支持乡村振兴。2024年中央、省级投入衔接资金6,435万元，吉林市级投入衔接资金487万元，市本级预算安排衔接资金287.29万元，使用地方债券1,200万元，共计8,409.29万元，用于推进种植、养殖、产业路网、农田灌溉等项目，为巩固拓展脱贫攻坚成果同乡村振兴有效衔接提供了有力的资金支撑。</w:t>
      </w:r>
      <w:r>
        <w:rPr>
          <w:rFonts w:hint="eastAsia" w:ascii="仿宋_GB2312" w:cs="Times New Roman"/>
          <w:bCs/>
          <w:color w:val="000000" w:themeColor="text1"/>
          <w:szCs w:val="32"/>
        </w:rPr>
        <w:t>②</w:t>
      </w:r>
      <w:r>
        <w:rPr>
          <w:rFonts w:hint="eastAsia" w:ascii="仿宋_GB2312" w:cs="Times New Roman"/>
          <w:color w:val="000000" w:themeColor="text1"/>
          <w:szCs w:val="32"/>
        </w:rPr>
        <w:t>加大教育投入</w:t>
      </w:r>
      <w:r>
        <w:rPr>
          <w:rFonts w:hint="eastAsia" w:ascii="仿宋_GB2312" w:cs="Times New Roman"/>
          <w:color w:val="000000" w:themeColor="text1"/>
          <w:szCs w:val="32"/>
          <w:lang w:eastAsia="zh-CN"/>
        </w:rPr>
        <w:t>。</w:t>
      </w:r>
      <w:r>
        <w:rPr>
          <w:rFonts w:hint="eastAsia" w:ascii="仿宋_GB2312" w:cs="Times New Roman"/>
          <w:color w:val="000000" w:themeColor="text1"/>
          <w:szCs w:val="32"/>
        </w:rPr>
        <w:t>预计完成教育事业发展支出6.2亿元，做到财政资金使用有标准、保障有方向，确保实现教育支出“两个只增不减”。③稳固社会保障根基</w:t>
      </w:r>
      <w:r>
        <w:rPr>
          <w:rFonts w:hint="eastAsia" w:ascii="仿宋_GB2312" w:cs="Times New Roman"/>
          <w:color w:val="000000" w:themeColor="text1"/>
          <w:szCs w:val="32"/>
          <w:lang w:eastAsia="zh-CN"/>
        </w:rPr>
        <w:t>。</w:t>
      </w:r>
      <w:bookmarkStart w:id="18" w:name="_GoBack"/>
      <w:bookmarkEnd w:id="18"/>
      <w:r>
        <w:rPr>
          <w:rFonts w:hint="eastAsia" w:ascii="仿宋_GB2312" w:cs="Times New Roman"/>
          <w:color w:val="000000" w:themeColor="text1"/>
          <w:szCs w:val="32"/>
        </w:rPr>
        <w:t>截至目前，完成社会保障和就业支出</w:t>
      </w:r>
      <w:r>
        <w:rPr>
          <w:rFonts w:hint="eastAsia" w:ascii="仿宋_GB2312" w:cs="Times New Roman"/>
          <w:color w:val="000000" w:themeColor="text1"/>
          <w:szCs w:val="32"/>
          <w:lang w:val="en-US" w:eastAsia="zh-CN"/>
        </w:rPr>
        <w:t>24,735.21</w:t>
      </w:r>
      <w:r>
        <w:rPr>
          <w:rFonts w:hint="eastAsia" w:ascii="仿宋_GB2312" w:cs="Times New Roman"/>
          <w:color w:val="000000" w:themeColor="text1"/>
          <w:szCs w:val="32"/>
        </w:rPr>
        <w:t>万元，全市城乡低保困难群众基本生活实现“应保尽保”；安排城乡养老保险资金1,356.36万元，实现了城乡居民基本养老保险全覆盖；提升卫生健康保障水平，致力于实现城乡居民基本公共卫生服务均等化，完成卫生健康支出</w:t>
      </w:r>
      <w:r>
        <w:rPr>
          <w:rFonts w:hint="eastAsia" w:ascii="仿宋_GB2312" w:cs="Times New Roman"/>
          <w:color w:val="000000" w:themeColor="text1"/>
          <w:szCs w:val="32"/>
          <w:lang w:val="en-US" w:eastAsia="zh-CN"/>
        </w:rPr>
        <w:t>15,484.88</w:t>
      </w:r>
      <w:r>
        <w:rPr>
          <w:rFonts w:hint="eastAsia" w:ascii="仿宋_GB2312" w:cs="Times New Roman"/>
          <w:color w:val="000000" w:themeColor="text1"/>
          <w:szCs w:val="32"/>
        </w:rPr>
        <w:t>万元，助力全市卫生健康事业迈向高质量发展新阶段。</w:t>
      </w:r>
    </w:p>
    <w:p w14:paraId="42B0A13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 w:val="0"/>
          <w:bCs w:val="0"/>
          <w:color w:val="000000" w:themeColor="text1"/>
          <w:szCs w:val="32"/>
        </w:rPr>
        <w:t>（六）聚焦提质增效，着重深改革强监管，全面增强财政管理能力。</w:t>
      </w:r>
      <w:r>
        <w:rPr>
          <w:rFonts w:hint="eastAsia" w:ascii="仿宋_GB2312" w:cs="Times New Roman"/>
          <w:bCs/>
          <w:color w:val="000000" w:themeColor="text1"/>
          <w:szCs w:val="32"/>
        </w:rPr>
        <w:t>①强化采购监管。在政府采购活动中</w:t>
      </w:r>
      <w:r>
        <w:rPr>
          <w:rFonts w:hint="eastAsia" w:ascii="仿宋_GB2312" w:cs="Times New Roman"/>
          <w:color w:val="000000" w:themeColor="text1"/>
          <w:szCs w:val="32"/>
        </w:rPr>
        <w:t>提高中小企业政府采购份额及价格扣除</w:t>
      </w:r>
      <w:r>
        <w:rPr>
          <w:rFonts w:hint="eastAsia" w:ascii="仿宋_GB2312" w:cs="Times New Roman"/>
          <w:color w:val="000000" w:themeColor="text1"/>
          <w:szCs w:val="32"/>
          <w:lang w:val="en-US" w:eastAsia="zh-CN"/>
        </w:rPr>
        <w:t>比例</w:t>
      </w:r>
      <w:r>
        <w:rPr>
          <w:rFonts w:hint="eastAsia" w:ascii="仿宋_GB2312" w:cs="Times New Roman"/>
          <w:color w:val="000000" w:themeColor="text1"/>
          <w:szCs w:val="32"/>
        </w:rPr>
        <w:t>，以扩大中小企业合同规模，组织各单位采购扶贫产品，</w:t>
      </w:r>
      <w:r>
        <w:rPr>
          <w:rFonts w:hint="eastAsia" w:ascii="仿宋_GB2312" w:cs="Times New Roman"/>
          <w:bCs/>
          <w:color w:val="000000" w:themeColor="text1"/>
          <w:szCs w:val="32"/>
        </w:rPr>
        <w:t>进一步规范政府采购工作。</w:t>
      </w:r>
      <w:r>
        <w:rPr>
          <w:rFonts w:hint="eastAsia" w:ascii="仿宋_GB2312" w:cs="Times New Roman"/>
          <w:color w:val="000000" w:themeColor="text1"/>
          <w:szCs w:val="32"/>
        </w:rPr>
        <w:t>②规范投资项目管理。严格控制支出，推进项目评审工作，截至目前，完成评审项目6</w:t>
      </w:r>
      <w:r>
        <w:rPr>
          <w:rFonts w:hint="eastAsia" w:ascii="仿宋_GB2312" w:cs="Times New Roman"/>
          <w:color w:val="000000" w:themeColor="text1"/>
          <w:szCs w:val="32"/>
          <w:lang w:val="en-US" w:eastAsia="zh-CN"/>
        </w:rPr>
        <w:t>49</w:t>
      </w:r>
      <w:r>
        <w:rPr>
          <w:rFonts w:hint="eastAsia" w:ascii="仿宋_GB2312" w:cs="Times New Roman"/>
          <w:color w:val="000000" w:themeColor="text1"/>
          <w:szCs w:val="32"/>
        </w:rPr>
        <w:t>个，送审资金</w:t>
      </w:r>
      <w:r>
        <w:rPr>
          <w:rFonts w:hint="eastAsia" w:ascii="仿宋_GB2312" w:cs="Times New Roman"/>
          <w:color w:val="000000" w:themeColor="text1"/>
          <w:szCs w:val="32"/>
          <w:lang w:val="en-US" w:eastAsia="zh-CN"/>
        </w:rPr>
        <w:t>204,050.37</w:t>
      </w:r>
      <w:r>
        <w:rPr>
          <w:rFonts w:hint="eastAsia" w:ascii="仿宋_GB2312" w:cs="Times New Roman"/>
          <w:color w:val="000000" w:themeColor="text1"/>
          <w:szCs w:val="32"/>
        </w:rPr>
        <w:t>万元。③</w:t>
      </w:r>
      <w:r>
        <w:rPr>
          <w:rFonts w:hint="eastAsia" w:ascii="仿宋_GB2312" w:cs="Times New Roman"/>
          <w:bCs/>
          <w:color w:val="000000" w:themeColor="text1"/>
          <w:szCs w:val="32"/>
        </w:rPr>
        <w:t>推进预算绩效管理。构建“制度与技术”的管理体系，强化预算绩效管理机制。推动预算监督从事后向事前、事中转变，保障财政信息畅通，共享共用。④加强监督检查力度。</w:t>
      </w:r>
      <w:r>
        <w:rPr>
          <w:rFonts w:hint="eastAsia" w:ascii="仿宋_GB2312" w:cs="Times New Roman"/>
          <w:color w:val="000000" w:themeColor="text1"/>
          <w:szCs w:val="32"/>
        </w:rPr>
        <w:t>对5家行政事业单位2023年度执行《中华人民共和国会计法》、会计准则、内部控制制度以及财经纪律执行等情况重点检查，针对检查中发现的问题，检查组向存在问题的被查单位进行了反馈，拟定了监督检查结论和处理决定通知书。按照《中华人民共和国会计法》、《财政违法行为处罚处分条例》等规定做出了相应的处理决定并督促被查单位认真整改，确保财政资金安全高效运行。</w:t>
      </w:r>
    </w:p>
    <w:p w14:paraId="106A69B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虽然2024年预算收支和其他财政工作都取得了一定收效，但受宏观经济形势下行、落实结构性减税和普遍性降费等多重因素影响，重点税源企业生产经营困难，税收贡献度下降，税收增长明显放缓。同时，随着城乡一体化发展、社会保障体系完善以及公共服务均等化等要求的不断提高，财政支出压力持续加大，特别是在教育、医疗、养老、住房保障等民生领域，支出规模不断扩大，资金需求日益增加。在财政收入增长放缓与财政支出压力持续加大的双重影响下，财政收支矛盾加剧，平衡难度显著加大。</w:t>
      </w:r>
    </w:p>
    <w:p w14:paraId="26877B8A">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黑体" w:hAnsi="黑体" w:eastAsia="黑体" w:cs="Times New Roman"/>
          <w:color w:val="000000" w:themeColor="text1"/>
          <w:szCs w:val="32"/>
        </w:rPr>
      </w:pPr>
      <w:r>
        <w:rPr>
          <w:rFonts w:hint="eastAsia" w:ascii="黑体" w:hAnsi="黑体" w:eastAsia="黑体" w:cs="Times New Roman"/>
          <w:color w:val="000000" w:themeColor="text1"/>
          <w:szCs w:val="32"/>
        </w:rPr>
        <w:t>三、2025年政府预算（草案）</w:t>
      </w:r>
    </w:p>
    <w:p w14:paraId="75D860C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2025年政府预算编制坚持以习近平新时代中国特色社会主义思想为指导，全面贯彻党的二十大和二十届三中全会精神，狠抓国家、省和市委决策部署的落实，坚持围绕中心、服务大局，树牢“过紧日子”思想，严格控制和压缩“三公”经费等一般性支出，集中财力保障民生重点领域支出，切实兜底“三保”底线。加大各类资金统筹力度，清理盘活存量资金资产。强化预算绩效监管，严格项目入库管理，提高预算编制的科学性和精准性，提升财政资源配置效率和使用效益，推动高质量发展。</w:t>
      </w:r>
    </w:p>
    <w:p w14:paraId="10C555BD">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楷体" w:hAnsi="楷体" w:eastAsia="楷体" w:cs="Times New Roman"/>
          <w:color w:val="000000" w:themeColor="text1"/>
          <w:szCs w:val="32"/>
        </w:rPr>
      </w:pPr>
      <w:r>
        <w:rPr>
          <w:rFonts w:hint="eastAsia" w:ascii="楷体_GB2312" w:hAnsi="楷体_GB2312" w:eastAsia="楷体_GB2312" w:cs="楷体_GB2312"/>
          <w:color w:val="000000" w:themeColor="text1"/>
          <w:szCs w:val="32"/>
        </w:rPr>
        <w:t>（一）一般公共预算收支计划。</w:t>
      </w:r>
    </w:p>
    <w:p w14:paraId="7E718625">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ascii="仿宋_GB2312" w:cs="Times New Roman"/>
          <w:color w:val="000000" w:themeColor="text1"/>
          <w:szCs w:val="32"/>
        </w:rPr>
        <w:t>1.</w:t>
      </w:r>
      <w:r>
        <w:rPr>
          <w:rFonts w:hint="eastAsia" w:ascii="仿宋_GB2312" w:cs="Times New Roman"/>
          <w:color w:val="000000" w:themeColor="text1"/>
          <w:szCs w:val="32"/>
        </w:rPr>
        <w:t>根据我市</w:t>
      </w:r>
      <w:r>
        <w:rPr>
          <w:rFonts w:ascii="仿宋_GB2312" w:cs="Times New Roman"/>
          <w:color w:val="000000" w:themeColor="text1"/>
          <w:szCs w:val="32"/>
        </w:rPr>
        <w:t>2025</w:t>
      </w:r>
      <w:r>
        <w:rPr>
          <w:rFonts w:hint="eastAsia" w:ascii="仿宋_GB2312" w:cs="Times New Roman"/>
          <w:color w:val="000000" w:themeColor="text1"/>
          <w:szCs w:val="32"/>
        </w:rPr>
        <w:t>年总体经济形势和财源状况，确定全口径收入目标为</w:t>
      </w:r>
      <w:r>
        <w:rPr>
          <w:rFonts w:ascii="仿宋_GB2312" w:cs="Times New Roman"/>
          <w:color w:val="000000" w:themeColor="text1"/>
          <w:szCs w:val="32"/>
        </w:rPr>
        <w:t>140,038</w:t>
      </w:r>
      <w:r>
        <w:rPr>
          <w:rFonts w:hint="eastAsia" w:ascii="仿宋_GB2312" w:cs="Times New Roman"/>
          <w:color w:val="000000" w:themeColor="text1"/>
          <w:szCs w:val="32"/>
        </w:rPr>
        <w:t>万元，较</w:t>
      </w:r>
      <w:r>
        <w:rPr>
          <w:rFonts w:ascii="仿宋_GB2312" w:cs="Times New Roman"/>
          <w:color w:val="000000" w:themeColor="text1"/>
          <w:szCs w:val="32"/>
        </w:rPr>
        <w:t>2024</w:t>
      </w:r>
      <w:r>
        <w:rPr>
          <w:rFonts w:hint="eastAsia" w:ascii="仿宋_GB2312" w:cs="Times New Roman"/>
          <w:color w:val="000000" w:themeColor="text1"/>
          <w:szCs w:val="32"/>
        </w:rPr>
        <w:t>年预计收入</w:t>
      </w:r>
      <w:r>
        <w:rPr>
          <w:rFonts w:ascii="仿宋_GB2312" w:cs="Times New Roman"/>
          <w:color w:val="000000" w:themeColor="text1"/>
          <w:szCs w:val="32"/>
        </w:rPr>
        <w:t>118,751</w:t>
      </w:r>
      <w:r>
        <w:rPr>
          <w:rFonts w:hint="eastAsia" w:ascii="仿宋_GB2312" w:cs="Times New Roman"/>
          <w:color w:val="000000" w:themeColor="text1"/>
          <w:szCs w:val="32"/>
        </w:rPr>
        <w:t>万元增长</w:t>
      </w:r>
      <w:r>
        <w:rPr>
          <w:rFonts w:ascii="仿宋_GB2312" w:cs="Times New Roman"/>
          <w:color w:val="000000" w:themeColor="text1"/>
          <w:szCs w:val="32"/>
        </w:rPr>
        <w:t>17.9%</w:t>
      </w:r>
      <w:r>
        <w:rPr>
          <w:rFonts w:hint="eastAsia" w:ascii="仿宋_GB2312" w:cs="Times New Roman"/>
          <w:color w:val="000000" w:themeColor="text1"/>
          <w:szCs w:val="32"/>
        </w:rPr>
        <w:t>；地方级收入目标为</w:t>
      </w:r>
      <w:r>
        <w:rPr>
          <w:rFonts w:ascii="仿宋_GB2312" w:cs="Times New Roman"/>
          <w:color w:val="000000" w:themeColor="text1"/>
          <w:szCs w:val="32"/>
        </w:rPr>
        <w:t>80,000</w:t>
      </w:r>
      <w:r>
        <w:rPr>
          <w:rFonts w:hint="eastAsia" w:ascii="仿宋_GB2312" w:cs="Times New Roman"/>
          <w:color w:val="000000" w:themeColor="text1"/>
          <w:szCs w:val="32"/>
        </w:rPr>
        <w:t>万元，较</w:t>
      </w:r>
      <w:r>
        <w:rPr>
          <w:rFonts w:ascii="仿宋_GB2312" w:cs="Times New Roman"/>
          <w:color w:val="000000" w:themeColor="text1"/>
          <w:szCs w:val="32"/>
        </w:rPr>
        <w:t>2024</w:t>
      </w:r>
      <w:r>
        <w:rPr>
          <w:rFonts w:hint="eastAsia" w:ascii="仿宋_GB2312" w:cs="Times New Roman"/>
          <w:color w:val="000000" w:themeColor="text1"/>
          <w:szCs w:val="32"/>
        </w:rPr>
        <w:t>年预计收入</w:t>
      </w:r>
      <w:r>
        <w:rPr>
          <w:rFonts w:ascii="仿宋_GB2312" w:cs="Times New Roman"/>
          <w:color w:val="000000" w:themeColor="text1"/>
          <w:szCs w:val="32"/>
        </w:rPr>
        <w:t>73,000</w:t>
      </w:r>
      <w:r>
        <w:rPr>
          <w:rFonts w:hint="eastAsia" w:ascii="仿宋_GB2312" w:cs="Times New Roman"/>
          <w:color w:val="000000" w:themeColor="text1"/>
          <w:szCs w:val="32"/>
        </w:rPr>
        <w:t>万元增长</w:t>
      </w:r>
      <w:r>
        <w:rPr>
          <w:rFonts w:ascii="仿宋_GB2312" w:cs="Times New Roman"/>
          <w:color w:val="000000" w:themeColor="text1"/>
          <w:szCs w:val="32"/>
        </w:rPr>
        <w:t>9.6%</w:t>
      </w:r>
      <w:r>
        <w:rPr>
          <w:rFonts w:hint="eastAsia" w:ascii="仿宋_GB2312" w:cs="Times New Roman"/>
          <w:color w:val="000000" w:themeColor="text1"/>
          <w:szCs w:val="32"/>
        </w:rPr>
        <w:t>。</w:t>
      </w:r>
      <w:r>
        <w:rPr>
          <w:rFonts w:ascii="仿宋_GB2312" w:cs="Times New Roman"/>
          <w:color w:val="000000" w:themeColor="text1"/>
          <w:szCs w:val="32"/>
        </w:rPr>
        <w:t>2025</w:t>
      </w:r>
      <w:r>
        <w:rPr>
          <w:rFonts w:hint="eastAsia" w:ascii="仿宋_GB2312" w:cs="Times New Roman"/>
          <w:color w:val="000000" w:themeColor="text1"/>
          <w:szCs w:val="32"/>
        </w:rPr>
        <w:t>年可用财力计划为</w:t>
      </w:r>
      <w:r>
        <w:rPr>
          <w:rFonts w:ascii="仿宋_GB2312" w:cs="Times New Roman"/>
          <w:color w:val="000000" w:themeColor="text1"/>
          <w:szCs w:val="32"/>
        </w:rPr>
        <w:t>459,721</w:t>
      </w:r>
      <w:r>
        <w:rPr>
          <w:rFonts w:hint="eastAsia" w:ascii="仿宋_GB2312" w:cs="Times New Roman"/>
          <w:color w:val="000000" w:themeColor="text1"/>
          <w:szCs w:val="32"/>
        </w:rPr>
        <w:t>万元，其中：本级收入</w:t>
      </w:r>
      <w:r>
        <w:rPr>
          <w:rFonts w:ascii="仿宋_GB2312" w:cs="Times New Roman"/>
          <w:color w:val="000000" w:themeColor="text1"/>
          <w:szCs w:val="32"/>
        </w:rPr>
        <w:t>80,000</w:t>
      </w:r>
      <w:r>
        <w:rPr>
          <w:rFonts w:hint="eastAsia" w:ascii="仿宋_GB2312" w:cs="Times New Roman"/>
          <w:color w:val="000000" w:themeColor="text1"/>
          <w:szCs w:val="32"/>
        </w:rPr>
        <w:t>万元、上级已下达的各项补助收入</w:t>
      </w:r>
      <w:r>
        <w:rPr>
          <w:rFonts w:ascii="仿宋_GB2312" w:cs="Times New Roman"/>
          <w:color w:val="000000" w:themeColor="text1"/>
          <w:szCs w:val="32"/>
        </w:rPr>
        <w:t>304,521</w:t>
      </w:r>
      <w:r>
        <w:rPr>
          <w:rFonts w:hint="eastAsia" w:ascii="仿宋_GB2312" w:cs="Times New Roman"/>
          <w:color w:val="000000" w:themeColor="text1"/>
          <w:szCs w:val="32"/>
        </w:rPr>
        <w:t>万元、债务转贷收入</w:t>
      </w:r>
      <w:r>
        <w:rPr>
          <w:rFonts w:ascii="仿宋_GB2312" w:cs="Times New Roman"/>
          <w:color w:val="000000" w:themeColor="text1"/>
          <w:szCs w:val="32"/>
        </w:rPr>
        <w:t>30,000</w:t>
      </w:r>
      <w:r>
        <w:rPr>
          <w:rFonts w:hint="eastAsia" w:ascii="仿宋_GB2312" w:cs="Times New Roman"/>
          <w:color w:val="000000" w:themeColor="text1"/>
          <w:szCs w:val="32"/>
        </w:rPr>
        <w:t>万元，调入预算稳定调节基金</w:t>
      </w:r>
      <w:r>
        <w:rPr>
          <w:rFonts w:ascii="仿宋_GB2312" w:cs="Times New Roman"/>
          <w:color w:val="000000" w:themeColor="text1"/>
          <w:szCs w:val="32"/>
        </w:rPr>
        <w:t>38,000</w:t>
      </w:r>
      <w:r>
        <w:rPr>
          <w:rFonts w:hint="eastAsia" w:ascii="仿宋_GB2312" w:cs="Times New Roman"/>
          <w:color w:val="000000" w:themeColor="text1"/>
          <w:szCs w:val="32"/>
        </w:rPr>
        <w:t>万元、调入资金</w:t>
      </w:r>
      <w:r>
        <w:rPr>
          <w:rFonts w:ascii="仿宋_GB2312" w:cs="Times New Roman"/>
          <w:color w:val="000000" w:themeColor="text1"/>
          <w:szCs w:val="32"/>
        </w:rPr>
        <w:t>7,200</w:t>
      </w:r>
      <w:r>
        <w:rPr>
          <w:rFonts w:hint="eastAsia" w:ascii="仿宋_GB2312" w:cs="Times New Roman"/>
          <w:color w:val="000000" w:themeColor="text1"/>
          <w:szCs w:val="32"/>
        </w:rPr>
        <w:t>万元。</w:t>
      </w:r>
    </w:p>
    <w:p w14:paraId="7F7AC543">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ascii="仿宋_GB2312" w:cs="Times New Roman"/>
          <w:color w:val="000000" w:themeColor="text1"/>
          <w:szCs w:val="32"/>
        </w:rPr>
        <w:t>2.</w:t>
      </w:r>
      <w:r>
        <w:rPr>
          <w:rFonts w:hint="eastAsia" w:ascii="仿宋_GB2312" w:cs="Times New Roman"/>
          <w:color w:val="000000" w:themeColor="text1"/>
          <w:szCs w:val="32"/>
        </w:rPr>
        <w:t>根据可用财力，</w:t>
      </w:r>
      <w:r>
        <w:rPr>
          <w:rFonts w:ascii="仿宋_GB2312" w:cs="Times New Roman"/>
          <w:color w:val="000000" w:themeColor="text1"/>
          <w:szCs w:val="32"/>
        </w:rPr>
        <w:t>2025</w:t>
      </w:r>
      <w:r>
        <w:rPr>
          <w:rFonts w:hint="eastAsia" w:ascii="仿宋_GB2312" w:cs="Times New Roman"/>
          <w:color w:val="000000" w:themeColor="text1"/>
          <w:szCs w:val="32"/>
        </w:rPr>
        <w:t>年财政总支出安排</w:t>
      </w:r>
      <w:r>
        <w:rPr>
          <w:rFonts w:ascii="仿宋_GB2312" w:cs="Times New Roman"/>
          <w:color w:val="000000" w:themeColor="text1"/>
          <w:szCs w:val="32"/>
        </w:rPr>
        <w:t>459,721</w:t>
      </w:r>
      <w:r>
        <w:rPr>
          <w:rFonts w:hint="eastAsia" w:ascii="仿宋_GB2312" w:cs="Times New Roman"/>
          <w:color w:val="000000" w:themeColor="text1"/>
          <w:szCs w:val="32"/>
        </w:rPr>
        <w:t>万元，与可用财力是一个收支平衡的预算。总支出中包括体制上解支出</w:t>
      </w:r>
      <w:r>
        <w:rPr>
          <w:rFonts w:ascii="仿宋_GB2312" w:cs="Times New Roman"/>
          <w:color w:val="000000" w:themeColor="text1"/>
          <w:szCs w:val="32"/>
        </w:rPr>
        <w:t>15,627</w:t>
      </w:r>
      <w:r>
        <w:rPr>
          <w:rFonts w:hint="eastAsia" w:ascii="仿宋_GB2312" w:cs="Times New Roman"/>
          <w:color w:val="000000" w:themeColor="text1"/>
          <w:szCs w:val="32"/>
        </w:rPr>
        <w:t>万元、一般公共预算支出</w:t>
      </w:r>
      <w:r>
        <w:rPr>
          <w:rFonts w:ascii="仿宋_GB2312" w:cs="Times New Roman"/>
          <w:color w:val="000000" w:themeColor="text1"/>
          <w:szCs w:val="32"/>
        </w:rPr>
        <w:t>444,094</w:t>
      </w:r>
      <w:r>
        <w:rPr>
          <w:rFonts w:hint="eastAsia" w:ascii="仿宋_GB2312" w:cs="Times New Roman"/>
          <w:color w:val="000000" w:themeColor="text1"/>
          <w:szCs w:val="32"/>
        </w:rPr>
        <w:t>万元。具体支出项目安排如下：</w:t>
      </w:r>
    </w:p>
    <w:p w14:paraId="4E55E383">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w:t>
      </w:r>
      <w:r>
        <w:rPr>
          <w:rFonts w:hint="eastAsia" w:ascii="仿宋_GB2312" w:cs="Times New Roman"/>
          <w:color w:val="000000" w:themeColor="text1"/>
          <w:szCs w:val="32"/>
        </w:rPr>
        <w:t>）一般公共服务支出</w:t>
      </w:r>
      <w:r>
        <w:rPr>
          <w:rFonts w:ascii="仿宋_GB2312" w:cs="Times New Roman"/>
          <w:color w:val="000000" w:themeColor="text1"/>
          <w:szCs w:val="32"/>
        </w:rPr>
        <w:t>38,568</w:t>
      </w:r>
      <w:r>
        <w:rPr>
          <w:rFonts w:hint="eastAsia" w:ascii="仿宋_GB2312" w:cs="Times New Roman"/>
          <w:color w:val="000000" w:themeColor="text1"/>
          <w:szCs w:val="32"/>
        </w:rPr>
        <w:t>万元；</w:t>
      </w:r>
    </w:p>
    <w:p w14:paraId="3A6B678C">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eastAsia="仿宋_GB2312" w:cs="Times New Roman"/>
          <w:color w:val="000000" w:themeColor="text1"/>
          <w:szCs w:val="32"/>
          <w:lang w:eastAsia="zh-CN"/>
        </w:rPr>
      </w:pPr>
      <w:r>
        <w:rPr>
          <w:rFonts w:hint="eastAsia" w:ascii="仿宋_GB2312" w:cs="Times New Roman"/>
          <w:color w:val="000000" w:themeColor="text1"/>
          <w:szCs w:val="32"/>
        </w:rPr>
        <w:t>（</w:t>
      </w:r>
      <w:r>
        <w:rPr>
          <w:rFonts w:ascii="仿宋_GB2312" w:cs="Times New Roman"/>
          <w:color w:val="000000" w:themeColor="text1"/>
          <w:szCs w:val="32"/>
        </w:rPr>
        <w:t>2</w:t>
      </w:r>
      <w:r>
        <w:rPr>
          <w:rFonts w:hint="eastAsia" w:ascii="仿宋_GB2312" w:cs="Times New Roman"/>
          <w:color w:val="000000" w:themeColor="text1"/>
          <w:szCs w:val="32"/>
        </w:rPr>
        <w:t>）公共安全支出</w:t>
      </w:r>
      <w:r>
        <w:rPr>
          <w:rFonts w:ascii="仿宋_GB2312" w:cs="Times New Roman"/>
          <w:color w:val="000000" w:themeColor="text1"/>
          <w:szCs w:val="32"/>
        </w:rPr>
        <w:t>14,957</w:t>
      </w:r>
      <w:r>
        <w:rPr>
          <w:rFonts w:hint="eastAsia" w:ascii="仿宋_GB2312" w:cs="Times New Roman"/>
          <w:color w:val="000000" w:themeColor="text1"/>
          <w:szCs w:val="32"/>
        </w:rPr>
        <w:t>万元</w:t>
      </w:r>
      <w:r>
        <w:rPr>
          <w:rFonts w:hint="eastAsia" w:ascii="仿宋_GB2312" w:cs="Times New Roman"/>
          <w:color w:val="000000" w:themeColor="text1"/>
          <w:szCs w:val="32"/>
          <w:lang w:eastAsia="zh-CN"/>
        </w:rPr>
        <w:t>；</w:t>
      </w:r>
    </w:p>
    <w:p w14:paraId="6C4E4D20">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3</w:t>
      </w:r>
      <w:r>
        <w:rPr>
          <w:rFonts w:hint="eastAsia" w:ascii="仿宋_GB2312" w:cs="Times New Roman"/>
          <w:color w:val="000000" w:themeColor="text1"/>
          <w:szCs w:val="32"/>
        </w:rPr>
        <w:t>）教育支出</w:t>
      </w:r>
      <w:r>
        <w:rPr>
          <w:rFonts w:ascii="仿宋_GB2312" w:cs="Times New Roman"/>
          <w:color w:val="000000" w:themeColor="text1"/>
          <w:szCs w:val="32"/>
        </w:rPr>
        <w:t>63,943</w:t>
      </w:r>
      <w:r>
        <w:rPr>
          <w:rFonts w:hint="eastAsia" w:ascii="仿宋_GB2312" w:cs="Times New Roman"/>
          <w:color w:val="000000" w:themeColor="text1"/>
          <w:szCs w:val="32"/>
        </w:rPr>
        <w:t>万元；</w:t>
      </w:r>
    </w:p>
    <w:p w14:paraId="4321301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4</w:t>
      </w:r>
      <w:r>
        <w:rPr>
          <w:rFonts w:hint="eastAsia" w:ascii="仿宋_GB2312" w:cs="Times New Roman"/>
          <w:color w:val="000000" w:themeColor="text1"/>
          <w:szCs w:val="32"/>
        </w:rPr>
        <w:t>）科学技术支出</w:t>
      </w:r>
      <w:r>
        <w:rPr>
          <w:rFonts w:ascii="仿宋_GB2312" w:cs="Times New Roman"/>
          <w:color w:val="000000" w:themeColor="text1"/>
          <w:szCs w:val="32"/>
        </w:rPr>
        <w:t>178</w:t>
      </w:r>
      <w:r>
        <w:rPr>
          <w:rFonts w:hint="eastAsia" w:ascii="仿宋_GB2312" w:cs="Times New Roman"/>
          <w:color w:val="000000" w:themeColor="text1"/>
          <w:szCs w:val="32"/>
        </w:rPr>
        <w:t>万元；</w:t>
      </w:r>
    </w:p>
    <w:p w14:paraId="3401ED65">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5</w:t>
      </w:r>
      <w:r>
        <w:rPr>
          <w:rFonts w:hint="eastAsia" w:ascii="仿宋_GB2312" w:cs="Times New Roman"/>
          <w:color w:val="000000" w:themeColor="text1"/>
          <w:szCs w:val="32"/>
        </w:rPr>
        <w:t>）文化体育和传媒支出</w:t>
      </w:r>
      <w:r>
        <w:rPr>
          <w:rFonts w:ascii="仿宋_GB2312" w:cs="Times New Roman"/>
          <w:color w:val="000000" w:themeColor="text1"/>
          <w:szCs w:val="32"/>
        </w:rPr>
        <w:t>2,274</w:t>
      </w:r>
      <w:r>
        <w:rPr>
          <w:rFonts w:hint="eastAsia" w:ascii="仿宋_GB2312" w:cs="Times New Roman"/>
          <w:color w:val="000000" w:themeColor="text1"/>
          <w:szCs w:val="32"/>
        </w:rPr>
        <w:t>万元；</w:t>
      </w:r>
    </w:p>
    <w:p w14:paraId="7BB73EB7">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6</w:t>
      </w:r>
      <w:r>
        <w:rPr>
          <w:rFonts w:hint="eastAsia" w:ascii="仿宋_GB2312" w:cs="Times New Roman"/>
          <w:color w:val="000000" w:themeColor="text1"/>
          <w:szCs w:val="32"/>
        </w:rPr>
        <w:t>）社会保障和就业支出</w:t>
      </w:r>
      <w:r>
        <w:rPr>
          <w:rFonts w:ascii="仿宋_GB2312" w:cs="Times New Roman"/>
          <w:color w:val="000000" w:themeColor="text1"/>
          <w:szCs w:val="32"/>
        </w:rPr>
        <w:t>105,135</w:t>
      </w:r>
      <w:r>
        <w:rPr>
          <w:rFonts w:hint="eastAsia" w:ascii="仿宋_GB2312" w:cs="Times New Roman"/>
          <w:color w:val="000000" w:themeColor="text1"/>
          <w:szCs w:val="32"/>
        </w:rPr>
        <w:t>万元；</w:t>
      </w:r>
    </w:p>
    <w:p w14:paraId="129D8E54">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7</w:t>
      </w:r>
      <w:r>
        <w:rPr>
          <w:rFonts w:hint="eastAsia" w:ascii="仿宋_GB2312" w:cs="Times New Roman"/>
          <w:color w:val="000000" w:themeColor="text1"/>
          <w:szCs w:val="32"/>
        </w:rPr>
        <w:t>）医疗卫生与计划生育支出</w:t>
      </w:r>
      <w:r>
        <w:rPr>
          <w:rFonts w:ascii="仿宋_GB2312" w:cs="Times New Roman"/>
          <w:color w:val="000000" w:themeColor="text1"/>
          <w:szCs w:val="32"/>
        </w:rPr>
        <w:t>33,768</w:t>
      </w:r>
      <w:r>
        <w:rPr>
          <w:rFonts w:hint="eastAsia" w:ascii="仿宋_GB2312" w:cs="Times New Roman"/>
          <w:color w:val="000000" w:themeColor="text1"/>
          <w:szCs w:val="32"/>
        </w:rPr>
        <w:t>万元；</w:t>
      </w:r>
    </w:p>
    <w:p w14:paraId="7BE03939">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8</w:t>
      </w:r>
      <w:r>
        <w:rPr>
          <w:rFonts w:hint="eastAsia" w:ascii="仿宋_GB2312" w:cs="Times New Roman"/>
          <w:color w:val="000000" w:themeColor="text1"/>
          <w:szCs w:val="32"/>
        </w:rPr>
        <w:t>）节能环保支出</w:t>
      </w:r>
      <w:r>
        <w:rPr>
          <w:rFonts w:ascii="仿宋_GB2312" w:cs="Times New Roman"/>
          <w:color w:val="000000" w:themeColor="text1"/>
          <w:szCs w:val="32"/>
        </w:rPr>
        <w:t>4,143</w:t>
      </w:r>
      <w:r>
        <w:rPr>
          <w:rFonts w:hint="eastAsia" w:ascii="仿宋_GB2312" w:cs="Times New Roman"/>
          <w:color w:val="000000" w:themeColor="text1"/>
          <w:szCs w:val="32"/>
        </w:rPr>
        <w:t>万元；</w:t>
      </w:r>
    </w:p>
    <w:p w14:paraId="2C154514">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9</w:t>
      </w:r>
      <w:r>
        <w:rPr>
          <w:rFonts w:hint="eastAsia" w:ascii="仿宋_GB2312" w:cs="Times New Roman"/>
          <w:color w:val="000000" w:themeColor="text1"/>
          <w:szCs w:val="32"/>
        </w:rPr>
        <w:t>）城乡社区支出</w:t>
      </w:r>
      <w:r>
        <w:rPr>
          <w:rFonts w:ascii="仿宋_GB2312" w:cs="Times New Roman"/>
          <w:color w:val="000000" w:themeColor="text1"/>
          <w:szCs w:val="32"/>
        </w:rPr>
        <w:t>60,844</w:t>
      </w:r>
      <w:r>
        <w:rPr>
          <w:rFonts w:hint="eastAsia" w:ascii="仿宋_GB2312" w:cs="Times New Roman"/>
          <w:color w:val="000000" w:themeColor="text1"/>
          <w:szCs w:val="32"/>
        </w:rPr>
        <w:t>万元；</w:t>
      </w:r>
    </w:p>
    <w:p w14:paraId="75E70776">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10</w:t>
      </w:r>
      <w:r>
        <w:rPr>
          <w:rFonts w:hint="eastAsia" w:ascii="仿宋_GB2312" w:cs="Times New Roman"/>
          <w:color w:val="000000" w:themeColor="text1"/>
          <w:szCs w:val="32"/>
        </w:rPr>
        <w:t>）农林水支出</w:t>
      </w:r>
      <w:r>
        <w:rPr>
          <w:rFonts w:ascii="仿宋_GB2312" w:cs="Times New Roman"/>
          <w:color w:val="000000" w:themeColor="text1"/>
          <w:szCs w:val="32"/>
        </w:rPr>
        <w:t>65,072</w:t>
      </w:r>
      <w:r>
        <w:rPr>
          <w:rFonts w:hint="eastAsia" w:ascii="仿宋_GB2312" w:cs="Times New Roman"/>
          <w:color w:val="000000" w:themeColor="text1"/>
          <w:szCs w:val="32"/>
        </w:rPr>
        <w:t>万元；</w:t>
      </w:r>
    </w:p>
    <w:p w14:paraId="4B38889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11</w:t>
      </w:r>
      <w:r>
        <w:rPr>
          <w:rFonts w:hint="eastAsia" w:ascii="仿宋_GB2312" w:cs="Times New Roman"/>
          <w:color w:val="000000" w:themeColor="text1"/>
          <w:szCs w:val="32"/>
        </w:rPr>
        <w:t>）交通运输支出</w:t>
      </w:r>
      <w:r>
        <w:rPr>
          <w:rFonts w:ascii="仿宋_GB2312" w:cs="Times New Roman"/>
          <w:color w:val="000000" w:themeColor="text1"/>
          <w:szCs w:val="32"/>
        </w:rPr>
        <w:t>9,378</w:t>
      </w:r>
      <w:r>
        <w:rPr>
          <w:rFonts w:hint="eastAsia" w:ascii="仿宋_GB2312" w:cs="Times New Roman"/>
          <w:color w:val="000000" w:themeColor="text1"/>
          <w:szCs w:val="32"/>
        </w:rPr>
        <w:t>万元；</w:t>
      </w:r>
    </w:p>
    <w:p w14:paraId="167EF61C">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12</w:t>
      </w:r>
      <w:r>
        <w:rPr>
          <w:rFonts w:hint="eastAsia" w:ascii="仿宋_GB2312" w:cs="Times New Roman"/>
          <w:color w:val="000000" w:themeColor="text1"/>
          <w:szCs w:val="32"/>
        </w:rPr>
        <w:t>）资源勘探信息等支出</w:t>
      </w:r>
      <w:r>
        <w:rPr>
          <w:rFonts w:ascii="仿宋_GB2312" w:cs="Times New Roman"/>
          <w:color w:val="000000" w:themeColor="text1"/>
          <w:szCs w:val="32"/>
        </w:rPr>
        <w:t>249</w:t>
      </w:r>
      <w:r>
        <w:rPr>
          <w:rFonts w:hint="eastAsia" w:ascii="仿宋_GB2312" w:cs="Times New Roman"/>
          <w:color w:val="000000" w:themeColor="text1"/>
          <w:szCs w:val="32"/>
        </w:rPr>
        <w:t>万元；</w:t>
      </w:r>
    </w:p>
    <w:p w14:paraId="2726216B">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13</w:t>
      </w:r>
      <w:r>
        <w:rPr>
          <w:rFonts w:hint="eastAsia" w:ascii="仿宋_GB2312" w:cs="Times New Roman"/>
          <w:color w:val="000000" w:themeColor="text1"/>
          <w:szCs w:val="32"/>
        </w:rPr>
        <w:t>）商业服务业等支出</w:t>
      </w:r>
      <w:r>
        <w:rPr>
          <w:rFonts w:ascii="仿宋_GB2312" w:cs="Times New Roman"/>
          <w:color w:val="000000" w:themeColor="text1"/>
          <w:szCs w:val="32"/>
        </w:rPr>
        <w:t>804</w:t>
      </w:r>
      <w:r>
        <w:rPr>
          <w:rFonts w:hint="eastAsia" w:ascii="仿宋_GB2312" w:cs="Times New Roman"/>
          <w:color w:val="000000" w:themeColor="text1"/>
          <w:szCs w:val="32"/>
        </w:rPr>
        <w:t>万元；</w:t>
      </w:r>
    </w:p>
    <w:p w14:paraId="3EE11834">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14</w:t>
      </w:r>
      <w:r>
        <w:rPr>
          <w:rFonts w:hint="eastAsia" w:ascii="仿宋_GB2312" w:cs="Times New Roman"/>
          <w:color w:val="000000" w:themeColor="text1"/>
          <w:szCs w:val="32"/>
        </w:rPr>
        <w:t>）国土海洋气象等支出</w:t>
      </w:r>
      <w:r>
        <w:rPr>
          <w:rFonts w:ascii="仿宋_GB2312" w:cs="Times New Roman"/>
          <w:color w:val="000000" w:themeColor="text1"/>
          <w:szCs w:val="32"/>
        </w:rPr>
        <w:t>7,421</w:t>
      </w:r>
      <w:r>
        <w:rPr>
          <w:rFonts w:hint="eastAsia" w:ascii="仿宋_GB2312" w:cs="Times New Roman"/>
          <w:color w:val="000000" w:themeColor="text1"/>
          <w:szCs w:val="32"/>
        </w:rPr>
        <w:t>万元；</w:t>
      </w:r>
    </w:p>
    <w:p w14:paraId="77FDAD5A">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15</w:t>
      </w:r>
      <w:r>
        <w:rPr>
          <w:rFonts w:hint="eastAsia" w:ascii="仿宋_GB2312" w:cs="Times New Roman"/>
          <w:color w:val="000000" w:themeColor="text1"/>
          <w:szCs w:val="32"/>
        </w:rPr>
        <w:t>）住房保障支出</w:t>
      </w:r>
      <w:r>
        <w:rPr>
          <w:rFonts w:ascii="仿宋_GB2312" w:cs="Times New Roman"/>
          <w:color w:val="000000" w:themeColor="text1"/>
          <w:szCs w:val="32"/>
        </w:rPr>
        <w:t>13,151</w:t>
      </w:r>
      <w:r>
        <w:rPr>
          <w:rFonts w:hint="eastAsia" w:ascii="仿宋_GB2312" w:cs="Times New Roman"/>
          <w:color w:val="000000" w:themeColor="text1"/>
          <w:szCs w:val="32"/>
        </w:rPr>
        <w:t>万元；</w:t>
      </w:r>
    </w:p>
    <w:p w14:paraId="59C2DEEA">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16</w:t>
      </w:r>
      <w:r>
        <w:rPr>
          <w:rFonts w:hint="eastAsia" w:ascii="仿宋_GB2312" w:cs="Times New Roman"/>
          <w:color w:val="000000" w:themeColor="text1"/>
          <w:szCs w:val="32"/>
        </w:rPr>
        <w:t>）粮油物资储备支出</w:t>
      </w:r>
      <w:r>
        <w:rPr>
          <w:rFonts w:ascii="仿宋_GB2312" w:cs="Times New Roman"/>
          <w:color w:val="000000" w:themeColor="text1"/>
          <w:szCs w:val="32"/>
        </w:rPr>
        <w:t>2,543</w:t>
      </w:r>
      <w:r>
        <w:rPr>
          <w:rFonts w:hint="eastAsia" w:ascii="仿宋_GB2312" w:cs="Times New Roman"/>
          <w:color w:val="000000" w:themeColor="text1"/>
          <w:szCs w:val="32"/>
        </w:rPr>
        <w:t>万元；</w:t>
      </w:r>
    </w:p>
    <w:p w14:paraId="4B53BF5B">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17</w:t>
      </w:r>
      <w:r>
        <w:rPr>
          <w:rFonts w:hint="eastAsia" w:ascii="仿宋_GB2312" w:cs="Times New Roman"/>
          <w:color w:val="000000" w:themeColor="text1"/>
          <w:szCs w:val="32"/>
        </w:rPr>
        <w:t>）灾害防治和应急管理支出</w:t>
      </w:r>
      <w:r>
        <w:rPr>
          <w:rFonts w:ascii="仿宋_GB2312" w:cs="Times New Roman"/>
          <w:color w:val="000000" w:themeColor="text1"/>
          <w:szCs w:val="32"/>
        </w:rPr>
        <w:t>1,784</w:t>
      </w:r>
      <w:r>
        <w:rPr>
          <w:rFonts w:hint="eastAsia" w:ascii="仿宋_GB2312" w:cs="Times New Roman"/>
          <w:color w:val="000000" w:themeColor="text1"/>
          <w:szCs w:val="32"/>
        </w:rPr>
        <w:t>万元；</w:t>
      </w:r>
    </w:p>
    <w:p w14:paraId="03101352">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18</w:t>
      </w:r>
      <w:r>
        <w:rPr>
          <w:rFonts w:hint="eastAsia" w:ascii="仿宋_GB2312" w:cs="Times New Roman"/>
          <w:color w:val="000000" w:themeColor="text1"/>
          <w:szCs w:val="32"/>
        </w:rPr>
        <w:t>）其他支出</w:t>
      </w:r>
      <w:r>
        <w:rPr>
          <w:rFonts w:ascii="仿宋_GB2312" w:cs="Times New Roman"/>
          <w:color w:val="000000" w:themeColor="text1"/>
          <w:szCs w:val="32"/>
        </w:rPr>
        <w:t>2,056</w:t>
      </w:r>
      <w:r>
        <w:rPr>
          <w:rFonts w:hint="eastAsia" w:ascii="仿宋_GB2312" w:cs="Times New Roman"/>
          <w:color w:val="000000" w:themeColor="text1"/>
          <w:szCs w:val="32"/>
        </w:rPr>
        <w:t>万元；</w:t>
      </w:r>
    </w:p>
    <w:p w14:paraId="5616315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19</w:t>
      </w:r>
      <w:r>
        <w:rPr>
          <w:rFonts w:hint="eastAsia" w:ascii="仿宋_GB2312" w:cs="Times New Roman"/>
          <w:color w:val="000000" w:themeColor="text1"/>
          <w:szCs w:val="32"/>
        </w:rPr>
        <w:t>）债务付息支出</w:t>
      </w:r>
      <w:r>
        <w:rPr>
          <w:rFonts w:ascii="仿宋_GB2312" w:cs="Times New Roman"/>
          <w:color w:val="000000" w:themeColor="text1"/>
          <w:szCs w:val="32"/>
        </w:rPr>
        <w:t>14,826</w:t>
      </w:r>
      <w:r>
        <w:rPr>
          <w:rFonts w:hint="eastAsia" w:ascii="仿宋_GB2312" w:cs="Times New Roman"/>
          <w:color w:val="000000" w:themeColor="text1"/>
          <w:szCs w:val="32"/>
        </w:rPr>
        <w:t>万元；</w:t>
      </w:r>
    </w:p>
    <w:p w14:paraId="0D39A492">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仿宋_GB2312" w:cs="Times New Roman"/>
          <w:color w:val="000000" w:themeColor="text1"/>
          <w:szCs w:val="32"/>
        </w:rPr>
        <w:t>（</w:t>
      </w:r>
      <w:r>
        <w:rPr>
          <w:rFonts w:ascii="仿宋_GB2312" w:cs="Times New Roman"/>
          <w:color w:val="000000" w:themeColor="text1"/>
          <w:szCs w:val="32"/>
        </w:rPr>
        <w:t>20</w:t>
      </w:r>
      <w:r>
        <w:rPr>
          <w:rFonts w:hint="eastAsia" w:ascii="仿宋_GB2312" w:cs="Times New Roman"/>
          <w:color w:val="000000" w:themeColor="text1"/>
          <w:szCs w:val="32"/>
        </w:rPr>
        <w:t>）预备费</w:t>
      </w:r>
      <w:r>
        <w:rPr>
          <w:rFonts w:ascii="仿宋_GB2312" w:cs="Times New Roman"/>
          <w:color w:val="000000" w:themeColor="text1"/>
          <w:szCs w:val="32"/>
        </w:rPr>
        <w:t>3,000</w:t>
      </w:r>
      <w:r>
        <w:rPr>
          <w:rFonts w:hint="eastAsia" w:ascii="仿宋_GB2312" w:cs="Times New Roman"/>
          <w:color w:val="000000" w:themeColor="text1"/>
          <w:szCs w:val="32"/>
        </w:rPr>
        <w:t>万元。</w:t>
      </w:r>
    </w:p>
    <w:p w14:paraId="1AF3CAC0">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ascii="仿宋_GB2312" w:cs="Times New Roman"/>
          <w:color w:val="000000" w:themeColor="text1"/>
          <w:szCs w:val="32"/>
        </w:rPr>
        <w:t>2025</w:t>
      </w:r>
      <w:r>
        <w:rPr>
          <w:rFonts w:hint="eastAsia" w:ascii="仿宋_GB2312" w:cs="Times New Roman"/>
          <w:color w:val="000000" w:themeColor="text1"/>
          <w:szCs w:val="32"/>
        </w:rPr>
        <w:t>年预算支出中安排“三公”经费</w:t>
      </w:r>
      <w:r>
        <w:rPr>
          <w:rFonts w:ascii="仿宋_GB2312" w:cs="Times New Roman"/>
          <w:color w:val="000000" w:themeColor="text1"/>
          <w:szCs w:val="32"/>
        </w:rPr>
        <w:t>1,225</w:t>
      </w:r>
      <w:r>
        <w:rPr>
          <w:rFonts w:hint="eastAsia" w:ascii="仿宋_GB2312" w:cs="Times New Roman"/>
          <w:color w:val="000000" w:themeColor="text1"/>
          <w:szCs w:val="32"/>
        </w:rPr>
        <w:t>万元，其中：公务接待费</w:t>
      </w:r>
      <w:r>
        <w:rPr>
          <w:rFonts w:ascii="仿宋_GB2312" w:cs="Times New Roman"/>
          <w:color w:val="000000" w:themeColor="text1"/>
          <w:szCs w:val="32"/>
        </w:rPr>
        <w:t>103</w:t>
      </w:r>
      <w:r>
        <w:rPr>
          <w:rFonts w:hint="eastAsia" w:ascii="仿宋_GB2312" w:cs="Times New Roman"/>
          <w:color w:val="000000" w:themeColor="text1"/>
          <w:szCs w:val="32"/>
        </w:rPr>
        <w:t>万元、公车购置及运行费</w:t>
      </w:r>
      <w:r>
        <w:rPr>
          <w:rFonts w:ascii="仿宋_GB2312" w:cs="Times New Roman"/>
          <w:color w:val="000000" w:themeColor="text1"/>
          <w:szCs w:val="32"/>
        </w:rPr>
        <w:t>1,122</w:t>
      </w:r>
      <w:r>
        <w:rPr>
          <w:rFonts w:hint="eastAsia" w:ascii="仿宋_GB2312" w:cs="Times New Roman"/>
          <w:color w:val="000000" w:themeColor="text1"/>
          <w:szCs w:val="32"/>
        </w:rPr>
        <w:t>万元。</w:t>
      </w:r>
    </w:p>
    <w:p w14:paraId="47E9264E">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color w:val="000000" w:themeColor="text1"/>
          <w:szCs w:val="32"/>
        </w:rPr>
        <w:t>（二）政府性基金预算安排。</w:t>
      </w:r>
      <w:r>
        <w:rPr>
          <w:rFonts w:ascii="仿宋_GB2312" w:cs="Times New Roman"/>
          <w:color w:val="000000" w:themeColor="text1"/>
          <w:szCs w:val="32"/>
        </w:rPr>
        <w:t>2025</w:t>
      </w:r>
      <w:r>
        <w:rPr>
          <w:rFonts w:hint="eastAsia" w:ascii="仿宋_GB2312" w:cs="Times New Roman"/>
          <w:color w:val="000000" w:themeColor="text1"/>
          <w:szCs w:val="32"/>
        </w:rPr>
        <w:t>年政府性基金预算收入计划为</w:t>
      </w:r>
      <w:r>
        <w:rPr>
          <w:rFonts w:ascii="仿宋_GB2312" w:cs="Times New Roman"/>
          <w:color w:val="000000" w:themeColor="text1"/>
          <w:szCs w:val="32"/>
        </w:rPr>
        <w:t>55,000</w:t>
      </w:r>
      <w:r>
        <w:rPr>
          <w:rFonts w:hint="eastAsia" w:ascii="仿宋_GB2312" w:cs="Times New Roman"/>
          <w:color w:val="000000" w:themeColor="text1"/>
          <w:szCs w:val="32"/>
        </w:rPr>
        <w:t>万元（不含上级补助收入）。安排政府性基金预算支出计划为</w:t>
      </w:r>
      <w:r>
        <w:rPr>
          <w:rFonts w:ascii="仿宋_GB2312" w:cs="Times New Roman"/>
          <w:color w:val="000000" w:themeColor="text1"/>
          <w:szCs w:val="32"/>
        </w:rPr>
        <w:t>55,000</w:t>
      </w:r>
      <w:r>
        <w:rPr>
          <w:rFonts w:hint="eastAsia" w:ascii="仿宋_GB2312" w:cs="Times New Roman"/>
          <w:color w:val="000000" w:themeColor="text1"/>
          <w:szCs w:val="32"/>
        </w:rPr>
        <w:t>万元，保持收支持平。</w:t>
      </w:r>
    </w:p>
    <w:p w14:paraId="5506E0BE">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color w:val="000000" w:themeColor="text1"/>
          <w:szCs w:val="32"/>
        </w:rPr>
        <w:t>（三）政府性债务预算安排。</w:t>
      </w:r>
      <w:r>
        <w:rPr>
          <w:rFonts w:ascii="仿宋_GB2312" w:cs="Times New Roman"/>
          <w:color w:val="000000" w:themeColor="text1"/>
          <w:szCs w:val="32"/>
        </w:rPr>
        <w:t>2024</w:t>
      </w:r>
      <w:r>
        <w:rPr>
          <w:rFonts w:hint="eastAsia" w:ascii="仿宋_GB2312" w:cs="Times New Roman"/>
          <w:color w:val="000000" w:themeColor="text1"/>
          <w:szCs w:val="32"/>
        </w:rPr>
        <w:t>年末全市政府债务余额预计为</w:t>
      </w:r>
      <w:r>
        <w:rPr>
          <w:rFonts w:ascii="仿宋_GB2312" w:cs="Times New Roman"/>
          <w:color w:val="000000" w:themeColor="text1"/>
          <w:szCs w:val="32"/>
        </w:rPr>
        <w:t>875,490.37</w:t>
      </w:r>
      <w:r>
        <w:rPr>
          <w:rFonts w:hint="eastAsia" w:ascii="仿宋_GB2312" w:cs="Times New Roman"/>
          <w:color w:val="000000" w:themeColor="text1"/>
          <w:szCs w:val="32"/>
        </w:rPr>
        <w:t>万元，</w:t>
      </w:r>
      <w:r>
        <w:rPr>
          <w:rFonts w:ascii="仿宋_GB2312" w:cs="Times New Roman"/>
          <w:color w:val="000000" w:themeColor="text1"/>
          <w:szCs w:val="32"/>
        </w:rPr>
        <w:t>2025</w:t>
      </w:r>
      <w:r>
        <w:rPr>
          <w:rFonts w:hint="eastAsia" w:ascii="仿宋_GB2312" w:cs="Times New Roman"/>
          <w:color w:val="000000" w:themeColor="text1"/>
          <w:szCs w:val="32"/>
        </w:rPr>
        <w:t>年预计发行债券</w:t>
      </w:r>
      <w:r>
        <w:rPr>
          <w:rFonts w:ascii="仿宋_GB2312" w:cs="Times New Roman"/>
          <w:color w:val="000000" w:themeColor="text1"/>
          <w:szCs w:val="32"/>
        </w:rPr>
        <w:t>79,660</w:t>
      </w:r>
      <w:r>
        <w:rPr>
          <w:rFonts w:hint="eastAsia" w:ascii="仿宋_GB2312" w:cs="Times New Roman"/>
          <w:color w:val="000000" w:themeColor="text1"/>
          <w:szCs w:val="32"/>
        </w:rPr>
        <w:t>万元，计划偿还</w:t>
      </w:r>
      <w:r>
        <w:rPr>
          <w:rFonts w:ascii="仿宋_GB2312" w:cs="Times New Roman"/>
          <w:color w:val="000000" w:themeColor="text1"/>
          <w:szCs w:val="32"/>
        </w:rPr>
        <w:t>18,889</w:t>
      </w:r>
      <w:r>
        <w:rPr>
          <w:rFonts w:hint="eastAsia" w:ascii="仿宋_GB2312" w:cs="Times New Roman"/>
          <w:color w:val="000000" w:themeColor="text1"/>
          <w:szCs w:val="32"/>
        </w:rPr>
        <w:t>万元，</w:t>
      </w:r>
      <w:r>
        <w:rPr>
          <w:rFonts w:ascii="仿宋_GB2312" w:cs="Times New Roman"/>
          <w:color w:val="000000" w:themeColor="text1"/>
          <w:szCs w:val="32"/>
        </w:rPr>
        <w:t>2025</w:t>
      </w:r>
      <w:r>
        <w:rPr>
          <w:rFonts w:hint="eastAsia" w:ascii="仿宋_GB2312" w:cs="Times New Roman"/>
          <w:color w:val="000000" w:themeColor="text1"/>
          <w:szCs w:val="32"/>
        </w:rPr>
        <w:t>年末债务余额计划为</w:t>
      </w:r>
      <w:r>
        <w:rPr>
          <w:rFonts w:ascii="仿宋_GB2312" w:cs="Times New Roman"/>
          <w:color w:val="000000" w:themeColor="text1"/>
          <w:szCs w:val="32"/>
        </w:rPr>
        <w:t>936,261.37</w:t>
      </w:r>
      <w:r>
        <w:rPr>
          <w:rFonts w:hint="eastAsia" w:ascii="仿宋_GB2312" w:cs="Times New Roman"/>
          <w:color w:val="000000" w:themeColor="text1"/>
          <w:szCs w:val="32"/>
        </w:rPr>
        <w:t>万元。</w:t>
      </w:r>
    </w:p>
    <w:p w14:paraId="780F0BA8">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黑体" w:hAnsi="黑体" w:eastAsia="黑体" w:cs="Times New Roman"/>
          <w:color w:val="000000" w:themeColor="text1"/>
          <w:szCs w:val="32"/>
        </w:rPr>
      </w:pPr>
      <w:r>
        <w:rPr>
          <w:rFonts w:hint="eastAsia" w:ascii="黑体" w:hAnsi="黑体" w:eastAsia="黑体" w:cs="Times New Roman"/>
          <w:color w:val="000000" w:themeColor="text1"/>
          <w:szCs w:val="32"/>
        </w:rPr>
        <w:t>四、2025年财政主要工作任务及措施</w:t>
      </w:r>
    </w:p>
    <w:p w14:paraId="57A9312E">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一</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围绕稳增长，坚持抓好财源建设。</w:t>
      </w:r>
      <w:r>
        <w:rPr>
          <w:rFonts w:hint="eastAsia" w:ascii="仿宋_GB2312" w:cs="Times New Roman"/>
          <w:color w:val="000000" w:themeColor="text1"/>
          <w:szCs w:val="32"/>
        </w:rPr>
        <w:t>利用综合治税优势，强化对比分析，完善部门协调机制，切实将潜在税源转化为实在税收。有针对性地抓好项目谋划、申报，争取项目早到位、早实施、早产生税收。落实减税降费政策，支持实体经济发展，促进企业转型升级，增强企业发展能力，涵养税源。加快推进在建项目进度，发挥存量项目税收支撑效应，全力打造重点支撑税源，储备稳定税源，为财政收入发展提供源源不断的动力基础。</w:t>
      </w:r>
    </w:p>
    <w:p w14:paraId="69A60930">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二</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围绕保重点，坚持过紧日子思想不动摇。</w:t>
      </w:r>
      <w:r>
        <w:rPr>
          <w:rFonts w:hint="eastAsia" w:ascii="仿宋_GB2312" w:cs="Times New Roman"/>
          <w:color w:val="000000" w:themeColor="text1"/>
          <w:szCs w:val="32"/>
        </w:rPr>
        <w:t>将政府过紧日子的要求作为预算管理长期坚持的基本方针落实落细，坚持量入为出、精打细算、节用裕民，严把预算支出关，进一步压缩一般性支出，缓解财政收支矛盾。稳妥调度资金，兜牢“三保”底线，腾出更多财力保障重点领域需求。</w:t>
      </w:r>
    </w:p>
    <w:p w14:paraId="3A19C618">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三</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持续加大民生投入，增进民众福祉与幸福感。</w:t>
      </w:r>
      <w:r>
        <w:rPr>
          <w:rFonts w:hint="eastAsia" w:ascii="仿宋_GB2312" w:cs="Times New Roman"/>
          <w:color w:val="000000" w:themeColor="text1"/>
          <w:szCs w:val="32"/>
        </w:rPr>
        <w:t>增加教育投入，提高教育经费占财政支出的比重，确保教育资源的均衡分配，培养更多符合市场需求的人才。强化医疗卫生体系建设，增加对公共卫生和基层医疗机构的财政支持，提升医疗服务水平。促进就业创业，落实就业优先政策，加强就业补助资金、职业技能培训资金监管及拨付工作，支持稳岗就业。完善社会保障体系，加强对低收入群体的救助力度，提高社会救助水平。</w:t>
      </w:r>
    </w:p>
    <w:p w14:paraId="2064415A">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四</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巩固脱贫成果，助推乡村振兴。</w:t>
      </w:r>
      <w:r>
        <w:rPr>
          <w:rFonts w:hint="eastAsia" w:ascii="仿宋_GB2312" w:cs="Times New Roman"/>
          <w:color w:val="000000" w:themeColor="text1"/>
          <w:szCs w:val="32"/>
        </w:rPr>
        <w:t>积极向上级财政部门争取更多的财政转移支付和专项补助资金，鼓励、指导金融机构加大对涉农主体、小微企业信贷支持，确保银农对接全面做实。深入推进农村综合改革，推进农村基础设施建设，改善农村人居环境。加强村级组织运转经费保障，完善扶贫资金动态监控机制，发挥好常态化监控作用。</w:t>
      </w:r>
    </w:p>
    <w:p w14:paraId="73CB8B0E">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五</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积极争取政策，增财力强保障。</w:t>
      </w:r>
      <w:r>
        <w:rPr>
          <w:rFonts w:hint="eastAsia" w:ascii="仿宋_GB2312" w:cs="Times New Roman"/>
          <w:color w:val="000000" w:themeColor="text1"/>
          <w:szCs w:val="32"/>
        </w:rPr>
        <w:t>紧抓国家继续推行更为积极的财政政策的宝贵契机，前瞻性地规划布局，主动争取中央及省级层面各项专项资金支持，推进项目建设，减轻企业负担。健全专项债项目常态化储备机制，积极争取新增政府债务限额，加快资金使用，强化资金管理，充分发挥专项债稳增长、扩内需、补短板的积极作用。</w:t>
      </w:r>
    </w:p>
    <w:p w14:paraId="07727B39">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六</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健全化债措施，提高风险防范化解能力。</w:t>
      </w:r>
      <w:r>
        <w:rPr>
          <w:rFonts w:hint="eastAsia" w:ascii="仿宋_GB2312" w:cs="Times New Roman"/>
          <w:color w:val="000000" w:themeColor="text1"/>
          <w:szCs w:val="32"/>
        </w:rPr>
        <w:t>全力争取政府专项债券，坚决遏制隐性债务增量，持续有效地解决现有的隐形债务问题，深入落实地方政府债务限额管理和预算管理要求，紧盯年度化债目标，积极筹集化债资金，牢牢守住债务风险底线。同时，开展政府债权清收工作，梳理债务信息并形成清单，掌握企业财务状况，因企施策并与公检法配合制定清收措施，确保工作合法高效。</w:t>
      </w:r>
    </w:p>
    <w:p w14:paraId="4E579C5F">
      <w:pPr>
        <w:widowControl w:val="0"/>
        <w:pBdr>
          <w:bottom w:val="single" w:color="FFFFFF" w:sz="4" w:space="31"/>
        </w:pBdr>
        <w:tabs>
          <w:tab w:val="left" w:pos="2700"/>
          <w:tab w:val="left" w:pos="2996"/>
          <w:tab w:val="left" w:pos="8640"/>
        </w:tabs>
        <w:spacing w:line="600" w:lineRule="exact"/>
        <w:ind w:firstLine="640" w:firstLineChars="200"/>
        <w:jc w:val="both"/>
        <w:rPr>
          <w:rFonts w:hint="eastAsia" w:ascii="仿宋_GB2312" w:cs="Times New Roman"/>
          <w:color w:val="000000" w:themeColor="text1"/>
          <w:szCs w:val="32"/>
        </w:rPr>
      </w:pP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lang w:val="en-US" w:eastAsia="zh-CN"/>
        </w:rPr>
        <w:t>七</w:t>
      </w:r>
      <w:r>
        <w:rPr>
          <w:rFonts w:hint="eastAsia" w:ascii="楷体_GB2312" w:hAnsi="楷体_GB2312" w:eastAsia="楷体_GB2312" w:cs="楷体_GB2312"/>
          <w:bCs/>
          <w:color w:val="000000" w:themeColor="text1"/>
          <w:szCs w:val="32"/>
          <w:lang w:eastAsia="zh-CN"/>
        </w:rPr>
        <w:t>）</w:t>
      </w:r>
      <w:r>
        <w:rPr>
          <w:rFonts w:hint="eastAsia" w:ascii="楷体_GB2312" w:hAnsi="楷体_GB2312" w:eastAsia="楷体_GB2312" w:cs="楷体_GB2312"/>
          <w:bCs/>
          <w:color w:val="000000" w:themeColor="text1"/>
          <w:szCs w:val="32"/>
        </w:rPr>
        <w:t>创新改革方案，稳步推进国企改革。</w:t>
      </w:r>
      <w:r>
        <w:rPr>
          <w:rFonts w:hint="eastAsia" w:ascii="仿宋_GB2312" w:cs="Times New Roman"/>
          <w:color w:val="000000" w:themeColor="text1"/>
          <w:szCs w:val="32"/>
        </w:rPr>
        <w:t>进一步提高对国企改革重要性的认识及对国企改革的统筹规划，积极推动国有企业创新发展，强化国有资产的监管，完成市属国企的经营与债务梳理，计划整合市属国企为五大产业集团以减少竞争、提升效益。</w:t>
      </w:r>
    </w:p>
    <w:p w14:paraId="73A7B668">
      <w:pPr>
        <w:widowControl w:val="0"/>
        <w:pBdr>
          <w:bottom w:val="single" w:color="FFFFFF" w:sz="4" w:space="31"/>
        </w:pBdr>
        <w:tabs>
          <w:tab w:val="left" w:pos="2700"/>
          <w:tab w:val="left" w:pos="2996"/>
          <w:tab w:val="left" w:pos="8640"/>
        </w:tabs>
        <w:spacing w:line="600" w:lineRule="exact"/>
        <w:ind w:firstLine="640" w:firstLineChars="200"/>
        <w:jc w:val="both"/>
        <w:rPr>
          <w:rFonts w:ascii="仿宋_GB2312" w:hAnsi="方正仿宋简体" w:cs="方正仿宋简体"/>
          <w:color w:val="000000"/>
          <w:kern w:val="0"/>
          <w:szCs w:val="32"/>
        </w:rPr>
      </w:pPr>
      <w:r>
        <w:rPr>
          <w:rFonts w:hint="eastAsia" w:ascii="仿宋_GB2312" w:hAnsi="方正仿宋简体" w:cs="方正仿宋简体"/>
          <w:color w:val="000000" w:themeColor="text1"/>
          <w:szCs w:val="32"/>
        </w:rPr>
        <w:t>各位</w:t>
      </w:r>
      <w:r>
        <w:rPr>
          <w:rFonts w:hint="eastAsia" w:ascii="仿宋_GB2312" w:hAnsi="方正仿宋简体" w:cs="方正仿宋简体"/>
          <w:color w:val="000000"/>
          <w:kern w:val="0"/>
          <w:szCs w:val="32"/>
        </w:rPr>
        <w:t>代表，面对2025年即将到来的机遇与挑战，我们将提高思想认识，战胜畏难情绪，采取有效措施，取得实质突破，在市委的领导下高举高质量发展的旗帜，主动接受市人大的监督，认真听取市政协的意见，严格落实本次会议决议，不断提升财政领域管理水平和服务水平，为磐石建设贡献力量！</w:t>
      </w:r>
    </w:p>
    <w:sectPr>
      <w:footerReference r:id="rId5" w:type="default"/>
      <w:pgSz w:w="11906" w:h="16838"/>
      <w:pgMar w:top="2211" w:right="1701" w:bottom="1871" w:left="1701"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小标宋">
    <w:altName w:val="方正小标宋简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3421146"/>
      <w:docPartObj>
        <w:docPartGallery w:val="autotext"/>
      </w:docPartObj>
    </w:sdtPr>
    <w:sdtEndPr>
      <w:rPr>
        <w:sz w:val="24"/>
      </w:rPr>
    </w:sdtEndPr>
    <w:sdtContent>
      <w:p w14:paraId="1312C9AE">
        <w:pPr>
          <w:pStyle w:val="11"/>
          <w:jc w:val="center"/>
          <w:rPr>
            <w:sz w:val="24"/>
          </w:rPr>
        </w:pPr>
        <w:r>
          <w:rPr>
            <w:sz w:val="24"/>
          </w:rPr>
          <w:fldChar w:fldCharType="begin"/>
        </w:r>
        <w:r>
          <w:rPr>
            <w:sz w:val="24"/>
          </w:rPr>
          <w:instrText xml:space="preserve">PAGE   \* MERGEFORMAT</w:instrText>
        </w:r>
        <w:r>
          <w:rPr>
            <w:sz w:val="24"/>
          </w:rPr>
          <w:fldChar w:fldCharType="separate"/>
        </w:r>
        <w:r>
          <w:rPr>
            <w:sz w:val="24"/>
            <w:lang w:val="zh-CN"/>
          </w:rPr>
          <w:t>-</w:t>
        </w:r>
        <w:r>
          <w:rPr>
            <w:sz w:val="24"/>
          </w:rPr>
          <w:t xml:space="preserve"> 1 -</w:t>
        </w:r>
        <w:r>
          <w:rPr>
            <w:sz w:val="24"/>
          </w:rPr>
          <w:fldChar w:fldCharType="end"/>
        </w:r>
      </w:p>
    </w:sdtContent>
  </w:sdt>
  <w:p w14:paraId="487DF7CF">
    <w:pPr>
      <w:pStyle w:val="11"/>
      <w:jc w:val="right"/>
      <w:rPr>
        <w:rFonts w:asci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ViMzQ5M2ZlYTk3N2UxYjU3MDlmMDQwNmI3MjNiYWIifQ=="/>
  </w:docVars>
  <w:rsids>
    <w:rsidRoot w:val="00172A27"/>
    <w:rsid w:val="000037D8"/>
    <w:rsid w:val="00024DC3"/>
    <w:rsid w:val="00026D1E"/>
    <w:rsid w:val="00031F72"/>
    <w:rsid w:val="00066D99"/>
    <w:rsid w:val="00090E04"/>
    <w:rsid w:val="000920FC"/>
    <w:rsid w:val="000B00A1"/>
    <w:rsid w:val="000C2E3D"/>
    <w:rsid w:val="00102912"/>
    <w:rsid w:val="00106908"/>
    <w:rsid w:val="00123DAA"/>
    <w:rsid w:val="00135152"/>
    <w:rsid w:val="00172A27"/>
    <w:rsid w:val="001815DB"/>
    <w:rsid w:val="00193CD0"/>
    <w:rsid w:val="001D0CDD"/>
    <w:rsid w:val="001D4F3A"/>
    <w:rsid w:val="00232FCD"/>
    <w:rsid w:val="00244E0C"/>
    <w:rsid w:val="00256C5D"/>
    <w:rsid w:val="00262D1E"/>
    <w:rsid w:val="00286231"/>
    <w:rsid w:val="00295E73"/>
    <w:rsid w:val="002A16E6"/>
    <w:rsid w:val="002A33AB"/>
    <w:rsid w:val="002C36E9"/>
    <w:rsid w:val="002D2426"/>
    <w:rsid w:val="002E0240"/>
    <w:rsid w:val="002E7062"/>
    <w:rsid w:val="002F4FAC"/>
    <w:rsid w:val="00317398"/>
    <w:rsid w:val="00336C24"/>
    <w:rsid w:val="0034203A"/>
    <w:rsid w:val="0035620B"/>
    <w:rsid w:val="003B3A27"/>
    <w:rsid w:val="003B73A6"/>
    <w:rsid w:val="003E1945"/>
    <w:rsid w:val="00425888"/>
    <w:rsid w:val="0043585F"/>
    <w:rsid w:val="004476A4"/>
    <w:rsid w:val="00453242"/>
    <w:rsid w:val="00462F9A"/>
    <w:rsid w:val="00487CC2"/>
    <w:rsid w:val="00495996"/>
    <w:rsid w:val="004A18C4"/>
    <w:rsid w:val="004B292E"/>
    <w:rsid w:val="004C77AA"/>
    <w:rsid w:val="004D0D6A"/>
    <w:rsid w:val="004E4E28"/>
    <w:rsid w:val="0052210C"/>
    <w:rsid w:val="00526875"/>
    <w:rsid w:val="00527732"/>
    <w:rsid w:val="00563D3F"/>
    <w:rsid w:val="00574970"/>
    <w:rsid w:val="005A0319"/>
    <w:rsid w:val="005A2028"/>
    <w:rsid w:val="005D0CC0"/>
    <w:rsid w:val="005D0E25"/>
    <w:rsid w:val="005D6674"/>
    <w:rsid w:val="005E22BE"/>
    <w:rsid w:val="00600FA9"/>
    <w:rsid w:val="006224CB"/>
    <w:rsid w:val="006259F8"/>
    <w:rsid w:val="0064315E"/>
    <w:rsid w:val="00660BF5"/>
    <w:rsid w:val="00673A18"/>
    <w:rsid w:val="00675240"/>
    <w:rsid w:val="006800A3"/>
    <w:rsid w:val="006B66AF"/>
    <w:rsid w:val="006E2327"/>
    <w:rsid w:val="006F7D36"/>
    <w:rsid w:val="0070355C"/>
    <w:rsid w:val="00711182"/>
    <w:rsid w:val="00727278"/>
    <w:rsid w:val="00730B54"/>
    <w:rsid w:val="00731E04"/>
    <w:rsid w:val="00733454"/>
    <w:rsid w:val="0077781E"/>
    <w:rsid w:val="00790485"/>
    <w:rsid w:val="007D0AF6"/>
    <w:rsid w:val="007F1AE8"/>
    <w:rsid w:val="00832B8F"/>
    <w:rsid w:val="00851D67"/>
    <w:rsid w:val="008569FD"/>
    <w:rsid w:val="00875F85"/>
    <w:rsid w:val="008C1C24"/>
    <w:rsid w:val="00901A24"/>
    <w:rsid w:val="009113E7"/>
    <w:rsid w:val="0091179C"/>
    <w:rsid w:val="009444C8"/>
    <w:rsid w:val="009502E9"/>
    <w:rsid w:val="009A3638"/>
    <w:rsid w:val="009F4DB5"/>
    <w:rsid w:val="009F565B"/>
    <w:rsid w:val="00A21F66"/>
    <w:rsid w:val="00A57F98"/>
    <w:rsid w:val="00A60D64"/>
    <w:rsid w:val="00A924C8"/>
    <w:rsid w:val="00AB130C"/>
    <w:rsid w:val="00AB4B85"/>
    <w:rsid w:val="00B20690"/>
    <w:rsid w:val="00B5118D"/>
    <w:rsid w:val="00B952F4"/>
    <w:rsid w:val="00BA17FB"/>
    <w:rsid w:val="00BE75E7"/>
    <w:rsid w:val="00C14874"/>
    <w:rsid w:val="00C37174"/>
    <w:rsid w:val="00C55C0C"/>
    <w:rsid w:val="00C65E53"/>
    <w:rsid w:val="00C72902"/>
    <w:rsid w:val="00C82B25"/>
    <w:rsid w:val="00C82CC7"/>
    <w:rsid w:val="00CB395E"/>
    <w:rsid w:val="00D202F7"/>
    <w:rsid w:val="00D44495"/>
    <w:rsid w:val="00D57082"/>
    <w:rsid w:val="00D72841"/>
    <w:rsid w:val="00D779A4"/>
    <w:rsid w:val="00D857BD"/>
    <w:rsid w:val="00DC1C0D"/>
    <w:rsid w:val="00DD52EB"/>
    <w:rsid w:val="00DE41F1"/>
    <w:rsid w:val="00DF5C63"/>
    <w:rsid w:val="00DF6099"/>
    <w:rsid w:val="00E022A3"/>
    <w:rsid w:val="00E12247"/>
    <w:rsid w:val="00E26688"/>
    <w:rsid w:val="00E54BE8"/>
    <w:rsid w:val="00ED0D4D"/>
    <w:rsid w:val="00EF549E"/>
    <w:rsid w:val="00F524D1"/>
    <w:rsid w:val="00F7621C"/>
    <w:rsid w:val="00F91783"/>
    <w:rsid w:val="00FB42E9"/>
    <w:rsid w:val="00FC00FA"/>
    <w:rsid w:val="010B2D31"/>
    <w:rsid w:val="012453C2"/>
    <w:rsid w:val="01284C10"/>
    <w:rsid w:val="016F0F80"/>
    <w:rsid w:val="01F90CAD"/>
    <w:rsid w:val="02102BB7"/>
    <w:rsid w:val="02210E04"/>
    <w:rsid w:val="023D421B"/>
    <w:rsid w:val="02457168"/>
    <w:rsid w:val="02792609"/>
    <w:rsid w:val="029562D6"/>
    <w:rsid w:val="029B457B"/>
    <w:rsid w:val="02A60790"/>
    <w:rsid w:val="02DD55A4"/>
    <w:rsid w:val="02E327E4"/>
    <w:rsid w:val="03202C26"/>
    <w:rsid w:val="035404DB"/>
    <w:rsid w:val="038F0F77"/>
    <w:rsid w:val="03B05D5B"/>
    <w:rsid w:val="04067600"/>
    <w:rsid w:val="041476CE"/>
    <w:rsid w:val="04221DEB"/>
    <w:rsid w:val="0426258C"/>
    <w:rsid w:val="048F6353"/>
    <w:rsid w:val="04B13A3D"/>
    <w:rsid w:val="04C00ABE"/>
    <w:rsid w:val="04F25AFE"/>
    <w:rsid w:val="05071A97"/>
    <w:rsid w:val="052102F4"/>
    <w:rsid w:val="05500BDA"/>
    <w:rsid w:val="05E03D0C"/>
    <w:rsid w:val="05E97064"/>
    <w:rsid w:val="061B4D44"/>
    <w:rsid w:val="06461568"/>
    <w:rsid w:val="068C5C42"/>
    <w:rsid w:val="06903ED1"/>
    <w:rsid w:val="06EE0B1A"/>
    <w:rsid w:val="072141DC"/>
    <w:rsid w:val="0744651C"/>
    <w:rsid w:val="08083E25"/>
    <w:rsid w:val="08106ED7"/>
    <w:rsid w:val="08697BA3"/>
    <w:rsid w:val="08D062FF"/>
    <w:rsid w:val="08F5441D"/>
    <w:rsid w:val="08FE06A8"/>
    <w:rsid w:val="09047D11"/>
    <w:rsid w:val="090E6E51"/>
    <w:rsid w:val="091B49E5"/>
    <w:rsid w:val="091C14FF"/>
    <w:rsid w:val="09277E8E"/>
    <w:rsid w:val="092D54BA"/>
    <w:rsid w:val="09307C4A"/>
    <w:rsid w:val="093F29DA"/>
    <w:rsid w:val="09AA56A0"/>
    <w:rsid w:val="09AB404E"/>
    <w:rsid w:val="0A1179A4"/>
    <w:rsid w:val="0A1B6761"/>
    <w:rsid w:val="0A20501F"/>
    <w:rsid w:val="0A5847B8"/>
    <w:rsid w:val="0A727B25"/>
    <w:rsid w:val="0A752490"/>
    <w:rsid w:val="0AC45233"/>
    <w:rsid w:val="0AC77B65"/>
    <w:rsid w:val="0ADC34B5"/>
    <w:rsid w:val="0ADF199C"/>
    <w:rsid w:val="0AE37B81"/>
    <w:rsid w:val="0B3F7726"/>
    <w:rsid w:val="0B664CB3"/>
    <w:rsid w:val="0B702427"/>
    <w:rsid w:val="0B872A30"/>
    <w:rsid w:val="0B893ECE"/>
    <w:rsid w:val="0BD82F27"/>
    <w:rsid w:val="0C1E2E1F"/>
    <w:rsid w:val="0C226690"/>
    <w:rsid w:val="0C663324"/>
    <w:rsid w:val="0CFE2CC9"/>
    <w:rsid w:val="0D0513B1"/>
    <w:rsid w:val="0D0D4964"/>
    <w:rsid w:val="0D670D48"/>
    <w:rsid w:val="0D676AC1"/>
    <w:rsid w:val="0DC3019B"/>
    <w:rsid w:val="0DD11951"/>
    <w:rsid w:val="0E1E2EBB"/>
    <w:rsid w:val="0E4E1601"/>
    <w:rsid w:val="0E597E5D"/>
    <w:rsid w:val="0E675C09"/>
    <w:rsid w:val="0E697251"/>
    <w:rsid w:val="0E880B57"/>
    <w:rsid w:val="0EB92EF8"/>
    <w:rsid w:val="0EC04A0A"/>
    <w:rsid w:val="0EC678F7"/>
    <w:rsid w:val="0EDF64BB"/>
    <w:rsid w:val="0EE54221"/>
    <w:rsid w:val="0F8F242F"/>
    <w:rsid w:val="0F942CC0"/>
    <w:rsid w:val="0F96368D"/>
    <w:rsid w:val="0F973132"/>
    <w:rsid w:val="0FAC7D13"/>
    <w:rsid w:val="0FE20680"/>
    <w:rsid w:val="10251742"/>
    <w:rsid w:val="10523A58"/>
    <w:rsid w:val="105E371F"/>
    <w:rsid w:val="109401D9"/>
    <w:rsid w:val="10A70026"/>
    <w:rsid w:val="10BE4C49"/>
    <w:rsid w:val="10D17073"/>
    <w:rsid w:val="10D655EB"/>
    <w:rsid w:val="10DF76D8"/>
    <w:rsid w:val="10F20D97"/>
    <w:rsid w:val="10FF6B02"/>
    <w:rsid w:val="11166833"/>
    <w:rsid w:val="11397508"/>
    <w:rsid w:val="11E81FB5"/>
    <w:rsid w:val="121A2353"/>
    <w:rsid w:val="12301B77"/>
    <w:rsid w:val="1265277C"/>
    <w:rsid w:val="126637EB"/>
    <w:rsid w:val="129245E0"/>
    <w:rsid w:val="12C7275C"/>
    <w:rsid w:val="130F3E82"/>
    <w:rsid w:val="134811FA"/>
    <w:rsid w:val="137757EB"/>
    <w:rsid w:val="13A445CA"/>
    <w:rsid w:val="13B15AD6"/>
    <w:rsid w:val="13B86111"/>
    <w:rsid w:val="142B3C14"/>
    <w:rsid w:val="14495172"/>
    <w:rsid w:val="145204CA"/>
    <w:rsid w:val="1464212C"/>
    <w:rsid w:val="14B1766B"/>
    <w:rsid w:val="14BA53E4"/>
    <w:rsid w:val="14EA0509"/>
    <w:rsid w:val="152D12E4"/>
    <w:rsid w:val="154743B4"/>
    <w:rsid w:val="1554046D"/>
    <w:rsid w:val="155575F5"/>
    <w:rsid w:val="15B320FA"/>
    <w:rsid w:val="15C639B1"/>
    <w:rsid w:val="15C72A4F"/>
    <w:rsid w:val="15FA4976"/>
    <w:rsid w:val="164D719B"/>
    <w:rsid w:val="16610551"/>
    <w:rsid w:val="16912DCF"/>
    <w:rsid w:val="16CF4539"/>
    <w:rsid w:val="16D6281D"/>
    <w:rsid w:val="16DE764D"/>
    <w:rsid w:val="16F079EB"/>
    <w:rsid w:val="16F666A2"/>
    <w:rsid w:val="1731363B"/>
    <w:rsid w:val="17491471"/>
    <w:rsid w:val="17571954"/>
    <w:rsid w:val="177E5132"/>
    <w:rsid w:val="178036DD"/>
    <w:rsid w:val="179D2C56"/>
    <w:rsid w:val="17A96653"/>
    <w:rsid w:val="17BD20F8"/>
    <w:rsid w:val="17BE19D3"/>
    <w:rsid w:val="17F378CF"/>
    <w:rsid w:val="180173F8"/>
    <w:rsid w:val="18024402"/>
    <w:rsid w:val="182932F0"/>
    <w:rsid w:val="185B5554"/>
    <w:rsid w:val="186B21DA"/>
    <w:rsid w:val="18B24194"/>
    <w:rsid w:val="19252011"/>
    <w:rsid w:val="192561AE"/>
    <w:rsid w:val="19411EA9"/>
    <w:rsid w:val="194F4FD8"/>
    <w:rsid w:val="1968609A"/>
    <w:rsid w:val="196D0D06"/>
    <w:rsid w:val="19AC0A48"/>
    <w:rsid w:val="19BD2D81"/>
    <w:rsid w:val="19C71013"/>
    <w:rsid w:val="19E03E83"/>
    <w:rsid w:val="19F53DD2"/>
    <w:rsid w:val="1A4359F3"/>
    <w:rsid w:val="1A6B018D"/>
    <w:rsid w:val="1A732F49"/>
    <w:rsid w:val="1A8C4B0E"/>
    <w:rsid w:val="1A8C623C"/>
    <w:rsid w:val="1A8F565B"/>
    <w:rsid w:val="1AB117BD"/>
    <w:rsid w:val="1ADC5504"/>
    <w:rsid w:val="1AFB370E"/>
    <w:rsid w:val="1B4376E0"/>
    <w:rsid w:val="1B723200"/>
    <w:rsid w:val="1B7E6A91"/>
    <w:rsid w:val="1B830F69"/>
    <w:rsid w:val="1BA3569C"/>
    <w:rsid w:val="1BAF1D5E"/>
    <w:rsid w:val="1BBA5F33"/>
    <w:rsid w:val="1BEC5FB9"/>
    <w:rsid w:val="1C2C44EF"/>
    <w:rsid w:val="1C433CD4"/>
    <w:rsid w:val="1C802537"/>
    <w:rsid w:val="1CAB4C1C"/>
    <w:rsid w:val="1CAF732F"/>
    <w:rsid w:val="1D532BBD"/>
    <w:rsid w:val="1D5E143B"/>
    <w:rsid w:val="1D660B43"/>
    <w:rsid w:val="1D8016C7"/>
    <w:rsid w:val="1DD172FE"/>
    <w:rsid w:val="1DDD1E63"/>
    <w:rsid w:val="1E1007AF"/>
    <w:rsid w:val="1EAF2075"/>
    <w:rsid w:val="1F265E6C"/>
    <w:rsid w:val="1F29007A"/>
    <w:rsid w:val="1F861028"/>
    <w:rsid w:val="1F924DFC"/>
    <w:rsid w:val="1F941997"/>
    <w:rsid w:val="1FFA054A"/>
    <w:rsid w:val="200F1F5C"/>
    <w:rsid w:val="20355336"/>
    <w:rsid w:val="204247FD"/>
    <w:rsid w:val="20753340"/>
    <w:rsid w:val="208A4B48"/>
    <w:rsid w:val="20944C7E"/>
    <w:rsid w:val="20992FDD"/>
    <w:rsid w:val="21330CE9"/>
    <w:rsid w:val="214B2529"/>
    <w:rsid w:val="214C343C"/>
    <w:rsid w:val="21617E94"/>
    <w:rsid w:val="219B018E"/>
    <w:rsid w:val="21E77FD2"/>
    <w:rsid w:val="22473641"/>
    <w:rsid w:val="22623FCE"/>
    <w:rsid w:val="227B5090"/>
    <w:rsid w:val="22977065"/>
    <w:rsid w:val="22B44C77"/>
    <w:rsid w:val="22C618E4"/>
    <w:rsid w:val="22D70126"/>
    <w:rsid w:val="230A5F90"/>
    <w:rsid w:val="2331727F"/>
    <w:rsid w:val="23BC326A"/>
    <w:rsid w:val="23DF51AB"/>
    <w:rsid w:val="23F70746"/>
    <w:rsid w:val="23FF584D"/>
    <w:rsid w:val="2443573A"/>
    <w:rsid w:val="245262DF"/>
    <w:rsid w:val="2491793D"/>
    <w:rsid w:val="249D369D"/>
    <w:rsid w:val="25186BC6"/>
    <w:rsid w:val="25292B82"/>
    <w:rsid w:val="255816B9"/>
    <w:rsid w:val="25592D3B"/>
    <w:rsid w:val="255F1870"/>
    <w:rsid w:val="25DF1611"/>
    <w:rsid w:val="25E82A3D"/>
    <w:rsid w:val="25F64DFB"/>
    <w:rsid w:val="264B19F5"/>
    <w:rsid w:val="264B4DF1"/>
    <w:rsid w:val="264E7968"/>
    <w:rsid w:val="267049FB"/>
    <w:rsid w:val="26A02F44"/>
    <w:rsid w:val="26C61046"/>
    <w:rsid w:val="27932534"/>
    <w:rsid w:val="27BD0830"/>
    <w:rsid w:val="27C33130"/>
    <w:rsid w:val="27DB59B7"/>
    <w:rsid w:val="280211FA"/>
    <w:rsid w:val="2843570A"/>
    <w:rsid w:val="28704061"/>
    <w:rsid w:val="28733BFB"/>
    <w:rsid w:val="288D28A0"/>
    <w:rsid w:val="289B5366"/>
    <w:rsid w:val="28A619FD"/>
    <w:rsid w:val="28B61AF9"/>
    <w:rsid w:val="28D9041B"/>
    <w:rsid w:val="28FF50D8"/>
    <w:rsid w:val="290D4406"/>
    <w:rsid w:val="29143B49"/>
    <w:rsid w:val="291F5558"/>
    <w:rsid w:val="29210100"/>
    <w:rsid w:val="29682961"/>
    <w:rsid w:val="297E49C8"/>
    <w:rsid w:val="298511E7"/>
    <w:rsid w:val="29857E40"/>
    <w:rsid w:val="29A547A1"/>
    <w:rsid w:val="2A3471A2"/>
    <w:rsid w:val="2A4A35FC"/>
    <w:rsid w:val="2A6F12F9"/>
    <w:rsid w:val="2A804D05"/>
    <w:rsid w:val="2A8D2B67"/>
    <w:rsid w:val="2A9775FA"/>
    <w:rsid w:val="2AA36F32"/>
    <w:rsid w:val="2AB4480A"/>
    <w:rsid w:val="2ACA7F42"/>
    <w:rsid w:val="2B073EF9"/>
    <w:rsid w:val="2B163BA8"/>
    <w:rsid w:val="2BA76481"/>
    <w:rsid w:val="2BEE541D"/>
    <w:rsid w:val="2C4853A8"/>
    <w:rsid w:val="2C632E92"/>
    <w:rsid w:val="2C6C77F8"/>
    <w:rsid w:val="2C7538F6"/>
    <w:rsid w:val="2C764205"/>
    <w:rsid w:val="2C8B75CD"/>
    <w:rsid w:val="2D12645D"/>
    <w:rsid w:val="2D18594D"/>
    <w:rsid w:val="2D472B4A"/>
    <w:rsid w:val="2D4D51F3"/>
    <w:rsid w:val="2D5B3AF4"/>
    <w:rsid w:val="2D981A20"/>
    <w:rsid w:val="2DA24121"/>
    <w:rsid w:val="2DF97485"/>
    <w:rsid w:val="2E6131C6"/>
    <w:rsid w:val="2EE541F6"/>
    <w:rsid w:val="2EF76D6A"/>
    <w:rsid w:val="2F0A3A24"/>
    <w:rsid w:val="2F4A7FBF"/>
    <w:rsid w:val="2F4C2515"/>
    <w:rsid w:val="2F884B7B"/>
    <w:rsid w:val="30245D32"/>
    <w:rsid w:val="30AD59F3"/>
    <w:rsid w:val="30DB4370"/>
    <w:rsid w:val="3104555E"/>
    <w:rsid w:val="3131623D"/>
    <w:rsid w:val="31320875"/>
    <w:rsid w:val="31BE0AF5"/>
    <w:rsid w:val="31C3435E"/>
    <w:rsid w:val="31CC3212"/>
    <w:rsid w:val="31FB3AF8"/>
    <w:rsid w:val="321F1F84"/>
    <w:rsid w:val="321F3964"/>
    <w:rsid w:val="329D7A67"/>
    <w:rsid w:val="32AF043E"/>
    <w:rsid w:val="32B8574F"/>
    <w:rsid w:val="32C61B80"/>
    <w:rsid w:val="33613A3D"/>
    <w:rsid w:val="33BA709B"/>
    <w:rsid w:val="33BE228A"/>
    <w:rsid w:val="33DA41A9"/>
    <w:rsid w:val="34060532"/>
    <w:rsid w:val="3489363D"/>
    <w:rsid w:val="349552F5"/>
    <w:rsid w:val="34B4493D"/>
    <w:rsid w:val="34BB30CA"/>
    <w:rsid w:val="35711FA6"/>
    <w:rsid w:val="358E7AEE"/>
    <w:rsid w:val="35EF3A72"/>
    <w:rsid w:val="36392E40"/>
    <w:rsid w:val="366723E6"/>
    <w:rsid w:val="368A2ED3"/>
    <w:rsid w:val="369D33CF"/>
    <w:rsid w:val="36A007CA"/>
    <w:rsid w:val="36BD707A"/>
    <w:rsid w:val="3737701C"/>
    <w:rsid w:val="37505CC3"/>
    <w:rsid w:val="37610F7D"/>
    <w:rsid w:val="379B7DB2"/>
    <w:rsid w:val="37C827BF"/>
    <w:rsid w:val="38435C77"/>
    <w:rsid w:val="386757DE"/>
    <w:rsid w:val="38B95B73"/>
    <w:rsid w:val="38C74734"/>
    <w:rsid w:val="38E3359D"/>
    <w:rsid w:val="390B1704"/>
    <w:rsid w:val="394333FE"/>
    <w:rsid w:val="39565AB7"/>
    <w:rsid w:val="39602492"/>
    <w:rsid w:val="39925941"/>
    <w:rsid w:val="39A664E6"/>
    <w:rsid w:val="39FF2A73"/>
    <w:rsid w:val="3A0472C2"/>
    <w:rsid w:val="3A0E1EEE"/>
    <w:rsid w:val="3A4C48B8"/>
    <w:rsid w:val="3A8B1DE4"/>
    <w:rsid w:val="3B0171F2"/>
    <w:rsid w:val="3B4C2CCE"/>
    <w:rsid w:val="3B7D0C4F"/>
    <w:rsid w:val="3B9305C0"/>
    <w:rsid w:val="3BB941BC"/>
    <w:rsid w:val="3BDC690B"/>
    <w:rsid w:val="3C0B0C10"/>
    <w:rsid w:val="3CA34052"/>
    <w:rsid w:val="3CC53DEA"/>
    <w:rsid w:val="3D1A30C6"/>
    <w:rsid w:val="3D6C1F51"/>
    <w:rsid w:val="3D8700FD"/>
    <w:rsid w:val="3D913562"/>
    <w:rsid w:val="3DA07301"/>
    <w:rsid w:val="3DCA7831"/>
    <w:rsid w:val="3E325B64"/>
    <w:rsid w:val="3E3642F7"/>
    <w:rsid w:val="3E59304A"/>
    <w:rsid w:val="3E797C59"/>
    <w:rsid w:val="3E7C1B1C"/>
    <w:rsid w:val="3E80785E"/>
    <w:rsid w:val="3E9B6127"/>
    <w:rsid w:val="3F006809"/>
    <w:rsid w:val="3F2F6B8F"/>
    <w:rsid w:val="3F3E5024"/>
    <w:rsid w:val="3F76656C"/>
    <w:rsid w:val="3F9C4A49"/>
    <w:rsid w:val="3FC714BD"/>
    <w:rsid w:val="3FD002BF"/>
    <w:rsid w:val="4014440A"/>
    <w:rsid w:val="40285C94"/>
    <w:rsid w:val="402869C8"/>
    <w:rsid w:val="40295CD4"/>
    <w:rsid w:val="403326AF"/>
    <w:rsid w:val="403B1563"/>
    <w:rsid w:val="403D5B9F"/>
    <w:rsid w:val="40762F92"/>
    <w:rsid w:val="407B38DF"/>
    <w:rsid w:val="40844CB8"/>
    <w:rsid w:val="40925627"/>
    <w:rsid w:val="40AF7598"/>
    <w:rsid w:val="40BC08F6"/>
    <w:rsid w:val="40E340D5"/>
    <w:rsid w:val="412A5A63"/>
    <w:rsid w:val="41393CF5"/>
    <w:rsid w:val="41C64625"/>
    <w:rsid w:val="41E114D0"/>
    <w:rsid w:val="42072045"/>
    <w:rsid w:val="42082648"/>
    <w:rsid w:val="4217283D"/>
    <w:rsid w:val="4250579A"/>
    <w:rsid w:val="42884F7A"/>
    <w:rsid w:val="4288615E"/>
    <w:rsid w:val="42B06238"/>
    <w:rsid w:val="432D0BB5"/>
    <w:rsid w:val="434E1DB1"/>
    <w:rsid w:val="436E3E38"/>
    <w:rsid w:val="437C0573"/>
    <w:rsid w:val="43F7789E"/>
    <w:rsid w:val="44054036"/>
    <w:rsid w:val="44095F37"/>
    <w:rsid w:val="441445A5"/>
    <w:rsid w:val="441F66AE"/>
    <w:rsid w:val="442E38B9"/>
    <w:rsid w:val="443469F5"/>
    <w:rsid w:val="446F212E"/>
    <w:rsid w:val="44C568A8"/>
    <w:rsid w:val="45196317"/>
    <w:rsid w:val="453D761E"/>
    <w:rsid w:val="454C63F8"/>
    <w:rsid w:val="45522149"/>
    <w:rsid w:val="45824E5C"/>
    <w:rsid w:val="45C6452D"/>
    <w:rsid w:val="45E53968"/>
    <w:rsid w:val="461F7311"/>
    <w:rsid w:val="46323D4B"/>
    <w:rsid w:val="46457B3A"/>
    <w:rsid w:val="465B295F"/>
    <w:rsid w:val="46A05653"/>
    <w:rsid w:val="46B05873"/>
    <w:rsid w:val="4741278E"/>
    <w:rsid w:val="47652DBE"/>
    <w:rsid w:val="476D46F8"/>
    <w:rsid w:val="47766C66"/>
    <w:rsid w:val="478618AD"/>
    <w:rsid w:val="480D39B5"/>
    <w:rsid w:val="483B6E91"/>
    <w:rsid w:val="487E0F1C"/>
    <w:rsid w:val="48997BD7"/>
    <w:rsid w:val="48D16F09"/>
    <w:rsid w:val="48FC3F85"/>
    <w:rsid w:val="49060960"/>
    <w:rsid w:val="493157B0"/>
    <w:rsid w:val="49404BB5"/>
    <w:rsid w:val="49757894"/>
    <w:rsid w:val="498F6058"/>
    <w:rsid w:val="49906437"/>
    <w:rsid w:val="4993509E"/>
    <w:rsid w:val="4999413A"/>
    <w:rsid w:val="49BE4415"/>
    <w:rsid w:val="49FB519D"/>
    <w:rsid w:val="4A2A2D74"/>
    <w:rsid w:val="4A7011E0"/>
    <w:rsid w:val="4A7B496A"/>
    <w:rsid w:val="4AA67E23"/>
    <w:rsid w:val="4AAB7BDA"/>
    <w:rsid w:val="4B4E2E51"/>
    <w:rsid w:val="4B5146DF"/>
    <w:rsid w:val="4B57582A"/>
    <w:rsid w:val="4BA40904"/>
    <w:rsid w:val="4BA66F35"/>
    <w:rsid w:val="4BAF26B9"/>
    <w:rsid w:val="4C793CC8"/>
    <w:rsid w:val="4C891FD4"/>
    <w:rsid w:val="4C8B1CE7"/>
    <w:rsid w:val="4C925CA0"/>
    <w:rsid w:val="4CE411BC"/>
    <w:rsid w:val="4CE509BA"/>
    <w:rsid w:val="4CEA6D86"/>
    <w:rsid w:val="4D027691"/>
    <w:rsid w:val="4D04730A"/>
    <w:rsid w:val="4D50005F"/>
    <w:rsid w:val="4D7D499F"/>
    <w:rsid w:val="4D8F5189"/>
    <w:rsid w:val="4E0833CC"/>
    <w:rsid w:val="4E0D453F"/>
    <w:rsid w:val="4E200716"/>
    <w:rsid w:val="4ED21E0B"/>
    <w:rsid w:val="4ED25E5C"/>
    <w:rsid w:val="4ED82D9F"/>
    <w:rsid w:val="4F10078B"/>
    <w:rsid w:val="4F300A98"/>
    <w:rsid w:val="4F4474D3"/>
    <w:rsid w:val="4F624D5E"/>
    <w:rsid w:val="4F7777DC"/>
    <w:rsid w:val="4F7C707F"/>
    <w:rsid w:val="4FAE4850"/>
    <w:rsid w:val="4FC451B1"/>
    <w:rsid w:val="4FCE4413"/>
    <w:rsid w:val="4FDF2002"/>
    <w:rsid w:val="4FE25169"/>
    <w:rsid w:val="4FE86580"/>
    <w:rsid w:val="4FF57EF0"/>
    <w:rsid w:val="50106568"/>
    <w:rsid w:val="502A7BB9"/>
    <w:rsid w:val="50B52C6C"/>
    <w:rsid w:val="50C23ACD"/>
    <w:rsid w:val="510609B9"/>
    <w:rsid w:val="51134562"/>
    <w:rsid w:val="514C7828"/>
    <w:rsid w:val="51A91F27"/>
    <w:rsid w:val="51BD4736"/>
    <w:rsid w:val="51DC4954"/>
    <w:rsid w:val="5244074B"/>
    <w:rsid w:val="52D65847"/>
    <w:rsid w:val="52E066C6"/>
    <w:rsid w:val="532F31A9"/>
    <w:rsid w:val="53367D4F"/>
    <w:rsid w:val="534038F7"/>
    <w:rsid w:val="53654E1D"/>
    <w:rsid w:val="53982C18"/>
    <w:rsid w:val="53E55EBB"/>
    <w:rsid w:val="543257C9"/>
    <w:rsid w:val="543801B0"/>
    <w:rsid w:val="547D6416"/>
    <w:rsid w:val="548E4E79"/>
    <w:rsid w:val="549F469A"/>
    <w:rsid w:val="551663CF"/>
    <w:rsid w:val="552B174F"/>
    <w:rsid w:val="559246F5"/>
    <w:rsid w:val="55A03EEB"/>
    <w:rsid w:val="55A51501"/>
    <w:rsid w:val="55EF09CE"/>
    <w:rsid w:val="55FF7DBC"/>
    <w:rsid w:val="56024BA5"/>
    <w:rsid w:val="560426CB"/>
    <w:rsid w:val="561A00CC"/>
    <w:rsid w:val="56670EB9"/>
    <w:rsid w:val="569D5AF1"/>
    <w:rsid w:val="56B73835"/>
    <w:rsid w:val="570A5ABF"/>
    <w:rsid w:val="571A0F94"/>
    <w:rsid w:val="57303174"/>
    <w:rsid w:val="573C5E95"/>
    <w:rsid w:val="575D68EE"/>
    <w:rsid w:val="57744282"/>
    <w:rsid w:val="57957137"/>
    <w:rsid w:val="57CA16F3"/>
    <w:rsid w:val="58121D5B"/>
    <w:rsid w:val="58322173"/>
    <w:rsid w:val="583C05D2"/>
    <w:rsid w:val="584B01F7"/>
    <w:rsid w:val="585F1E3B"/>
    <w:rsid w:val="58A9755A"/>
    <w:rsid w:val="58F509F1"/>
    <w:rsid w:val="59064741"/>
    <w:rsid w:val="5924372E"/>
    <w:rsid w:val="595941B1"/>
    <w:rsid w:val="595B31A9"/>
    <w:rsid w:val="599A49D3"/>
    <w:rsid w:val="59AF294E"/>
    <w:rsid w:val="59C12859"/>
    <w:rsid w:val="5A1804F3"/>
    <w:rsid w:val="5A2645A7"/>
    <w:rsid w:val="5A30797B"/>
    <w:rsid w:val="5A4133F9"/>
    <w:rsid w:val="5A4B0B51"/>
    <w:rsid w:val="5A4E20FD"/>
    <w:rsid w:val="5A6C13ED"/>
    <w:rsid w:val="5A8916D4"/>
    <w:rsid w:val="5A93401E"/>
    <w:rsid w:val="5AB3021C"/>
    <w:rsid w:val="5AD11F50"/>
    <w:rsid w:val="5B3D3F8A"/>
    <w:rsid w:val="5B465534"/>
    <w:rsid w:val="5B4A3852"/>
    <w:rsid w:val="5B51383C"/>
    <w:rsid w:val="5C1B251D"/>
    <w:rsid w:val="5C451348"/>
    <w:rsid w:val="5C47004E"/>
    <w:rsid w:val="5C675762"/>
    <w:rsid w:val="5C8D7611"/>
    <w:rsid w:val="5C922CA1"/>
    <w:rsid w:val="5CB36BF9"/>
    <w:rsid w:val="5CF73483"/>
    <w:rsid w:val="5D2E7145"/>
    <w:rsid w:val="5D393324"/>
    <w:rsid w:val="5D3A7B80"/>
    <w:rsid w:val="5DA24B95"/>
    <w:rsid w:val="5DBE4E98"/>
    <w:rsid w:val="5DCA01C5"/>
    <w:rsid w:val="5DCA244C"/>
    <w:rsid w:val="5DCA5FA9"/>
    <w:rsid w:val="5E3843BB"/>
    <w:rsid w:val="5E447F25"/>
    <w:rsid w:val="5E483245"/>
    <w:rsid w:val="5E6D4B86"/>
    <w:rsid w:val="5EA91E05"/>
    <w:rsid w:val="5F2347EE"/>
    <w:rsid w:val="5F2E6564"/>
    <w:rsid w:val="5F976423"/>
    <w:rsid w:val="5F9F5213"/>
    <w:rsid w:val="5FA62A45"/>
    <w:rsid w:val="5FC235AB"/>
    <w:rsid w:val="5FF05A6E"/>
    <w:rsid w:val="600B1AD6"/>
    <w:rsid w:val="6079082F"/>
    <w:rsid w:val="60900938"/>
    <w:rsid w:val="60916C10"/>
    <w:rsid w:val="609B59DA"/>
    <w:rsid w:val="60AA6610"/>
    <w:rsid w:val="60E455D3"/>
    <w:rsid w:val="60F70953"/>
    <w:rsid w:val="61484AC6"/>
    <w:rsid w:val="615D5386"/>
    <w:rsid w:val="617F4BA6"/>
    <w:rsid w:val="61981646"/>
    <w:rsid w:val="61EA2C39"/>
    <w:rsid w:val="61F70BD2"/>
    <w:rsid w:val="6216709D"/>
    <w:rsid w:val="62736350"/>
    <w:rsid w:val="6279084F"/>
    <w:rsid w:val="62977911"/>
    <w:rsid w:val="62A36DC8"/>
    <w:rsid w:val="62A80882"/>
    <w:rsid w:val="62BE1E54"/>
    <w:rsid w:val="62C60FE7"/>
    <w:rsid w:val="62FC4784"/>
    <w:rsid w:val="63155F18"/>
    <w:rsid w:val="633C2439"/>
    <w:rsid w:val="63464323"/>
    <w:rsid w:val="63891590"/>
    <w:rsid w:val="63C87EA8"/>
    <w:rsid w:val="63EA66FC"/>
    <w:rsid w:val="64591E34"/>
    <w:rsid w:val="648D5354"/>
    <w:rsid w:val="648E2B1B"/>
    <w:rsid w:val="64920982"/>
    <w:rsid w:val="64DC5BA9"/>
    <w:rsid w:val="64EA6F49"/>
    <w:rsid w:val="64EE4C6C"/>
    <w:rsid w:val="65127B53"/>
    <w:rsid w:val="65436640"/>
    <w:rsid w:val="65543EE7"/>
    <w:rsid w:val="658F0C2A"/>
    <w:rsid w:val="65934175"/>
    <w:rsid w:val="65AE4A0F"/>
    <w:rsid w:val="65BC6B1F"/>
    <w:rsid w:val="65D5373C"/>
    <w:rsid w:val="66862C89"/>
    <w:rsid w:val="6695111E"/>
    <w:rsid w:val="66BB29B2"/>
    <w:rsid w:val="66C832A1"/>
    <w:rsid w:val="66CE4588"/>
    <w:rsid w:val="66D73BAB"/>
    <w:rsid w:val="67092364"/>
    <w:rsid w:val="67226E55"/>
    <w:rsid w:val="67564D51"/>
    <w:rsid w:val="67672ABA"/>
    <w:rsid w:val="676968E5"/>
    <w:rsid w:val="67AB1F7E"/>
    <w:rsid w:val="68686AEA"/>
    <w:rsid w:val="6872133D"/>
    <w:rsid w:val="68AA375B"/>
    <w:rsid w:val="68C2564E"/>
    <w:rsid w:val="68EA380F"/>
    <w:rsid w:val="693547AD"/>
    <w:rsid w:val="697E4A9C"/>
    <w:rsid w:val="69A6745F"/>
    <w:rsid w:val="69B911E2"/>
    <w:rsid w:val="69F358B7"/>
    <w:rsid w:val="6A2E524F"/>
    <w:rsid w:val="6A7D2AAF"/>
    <w:rsid w:val="6AAD1A17"/>
    <w:rsid w:val="6B080110"/>
    <w:rsid w:val="6B331004"/>
    <w:rsid w:val="6B4116B9"/>
    <w:rsid w:val="6B5A48EB"/>
    <w:rsid w:val="6B940722"/>
    <w:rsid w:val="6BAB75B4"/>
    <w:rsid w:val="6BC06B2F"/>
    <w:rsid w:val="6BD85D34"/>
    <w:rsid w:val="6BD90D77"/>
    <w:rsid w:val="6BDD0558"/>
    <w:rsid w:val="6BF13845"/>
    <w:rsid w:val="6BFF6393"/>
    <w:rsid w:val="6C184383"/>
    <w:rsid w:val="6C7643E3"/>
    <w:rsid w:val="6CAB38B7"/>
    <w:rsid w:val="6CD90608"/>
    <w:rsid w:val="6D135B8B"/>
    <w:rsid w:val="6D444CFC"/>
    <w:rsid w:val="6D4741CD"/>
    <w:rsid w:val="6D602485"/>
    <w:rsid w:val="6D7C4512"/>
    <w:rsid w:val="6D7D61BD"/>
    <w:rsid w:val="6DA93D80"/>
    <w:rsid w:val="6E2C2368"/>
    <w:rsid w:val="6E4111D4"/>
    <w:rsid w:val="6E7A7577"/>
    <w:rsid w:val="6EAF2E06"/>
    <w:rsid w:val="6EF73A27"/>
    <w:rsid w:val="6F072A6F"/>
    <w:rsid w:val="6F60676D"/>
    <w:rsid w:val="6FA56875"/>
    <w:rsid w:val="6FD47FFE"/>
    <w:rsid w:val="700D088C"/>
    <w:rsid w:val="70352B33"/>
    <w:rsid w:val="70452720"/>
    <w:rsid w:val="70547A34"/>
    <w:rsid w:val="7058728B"/>
    <w:rsid w:val="70891CF3"/>
    <w:rsid w:val="708E0784"/>
    <w:rsid w:val="70976100"/>
    <w:rsid w:val="70A13780"/>
    <w:rsid w:val="70AD3C34"/>
    <w:rsid w:val="70B24470"/>
    <w:rsid w:val="70C160FE"/>
    <w:rsid w:val="70D56CE6"/>
    <w:rsid w:val="70FE192C"/>
    <w:rsid w:val="71010365"/>
    <w:rsid w:val="71097DA1"/>
    <w:rsid w:val="71752277"/>
    <w:rsid w:val="71983F29"/>
    <w:rsid w:val="71A57A9A"/>
    <w:rsid w:val="71FD6C02"/>
    <w:rsid w:val="724B7817"/>
    <w:rsid w:val="724F2AC9"/>
    <w:rsid w:val="726A16B0"/>
    <w:rsid w:val="72966949"/>
    <w:rsid w:val="72C37E46"/>
    <w:rsid w:val="72F35B4A"/>
    <w:rsid w:val="72FB0499"/>
    <w:rsid w:val="730A1725"/>
    <w:rsid w:val="734461A8"/>
    <w:rsid w:val="73C25BA8"/>
    <w:rsid w:val="7403112E"/>
    <w:rsid w:val="744B7C3A"/>
    <w:rsid w:val="747131CA"/>
    <w:rsid w:val="747730C1"/>
    <w:rsid w:val="74DB5055"/>
    <w:rsid w:val="74FE4AA6"/>
    <w:rsid w:val="754F2998"/>
    <w:rsid w:val="757D16FB"/>
    <w:rsid w:val="759F14CD"/>
    <w:rsid w:val="75BF7196"/>
    <w:rsid w:val="75D942A7"/>
    <w:rsid w:val="75E16BB8"/>
    <w:rsid w:val="768B1C04"/>
    <w:rsid w:val="76B07C8D"/>
    <w:rsid w:val="76C00EE1"/>
    <w:rsid w:val="76EC2C18"/>
    <w:rsid w:val="770A03EB"/>
    <w:rsid w:val="7769462C"/>
    <w:rsid w:val="777E10B4"/>
    <w:rsid w:val="778A41A6"/>
    <w:rsid w:val="77C61B41"/>
    <w:rsid w:val="77E72AE2"/>
    <w:rsid w:val="78012DA4"/>
    <w:rsid w:val="780B77D2"/>
    <w:rsid w:val="781C51FB"/>
    <w:rsid w:val="782878D8"/>
    <w:rsid w:val="78567079"/>
    <w:rsid w:val="788F2E64"/>
    <w:rsid w:val="78BE5D2E"/>
    <w:rsid w:val="78F60E16"/>
    <w:rsid w:val="790E548B"/>
    <w:rsid w:val="79273CB6"/>
    <w:rsid w:val="79391C2C"/>
    <w:rsid w:val="7A020420"/>
    <w:rsid w:val="7A111222"/>
    <w:rsid w:val="7A2111EE"/>
    <w:rsid w:val="7A4A3AEC"/>
    <w:rsid w:val="7A8A4C55"/>
    <w:rsid w:val="7B364D03"/>
    <w:rsid w:val="7B875F21"/>
    <w:rsid w:val="7BE6624C"/>
    <w:rsid w:val="7C091F3A"/>
    <w:rsid w:val="7C445DA6"/>
    <w:rsid w:val="7C4B04E3"/>
    <w:rsid w:val="7C885555"/>
    <w:rsid w:val="7CA32DDA"/>
    <w:rsid w:val="7CA54CDB"/>
    <w:rsid w:val="7CF13CB1"/>
    <w:rsid w:val="7D246897"/>
    <w:rsid w:val="7D5A7C49"/>
    <w:rsid w:val="7D85505B"/>
    <w:rsid w:val="7DA04414"/>
    <w:rsid w:val="7DBC3708"/>
    <w:rsid w:val="7DC266CD"/>
    <w:rsid w:val="7DE82555"/>
    <w:rsid w:val="7DFE3170"/>
    <w:rsid w:val="7E301A00"/>
    <w:rsid w:val="7E32773F"/>
    <w:rsid w:val="7E4258F7"/>
    <w:rsid w:val="7E561E7A"/>
    <w:rsid w:val="7E6D036B"/>
    <w:rsid w:val="7E747B3F"/>
    <w:rsid w:val="7E8E5DD3"/>
    <w:rsid w:val="7EB81E14"/>
    <w:rsid w:val="7EBE34F9"/>
    <w:rsid w:val="7F1B5BF2"/>
    <w:rsid w:val="7F1B620C"/>
    <w:rsid w:val="7F241872"/>
    <w:rsid w:val="7F255D21"/>
    <w:rsid w:val="7F2A644F"/>
    <w:rsid w:val="7F437511"/>
    <w:rsid w:val="7FE17D9F"/>
    <w:rsid w:val="7FE30C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76" w:lineRule="exact"/>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qFormat/>
    <w:uiPriority w:val="0"/>
    <w:pPr>
      <w:keepNext/>
      <w:keepLines/>
      <w:widowControl w:val="0"/>
      <w:spacing w:line="240" w:lineRule="auto"/>
      <w:jc w:val="center"/>
      <w:outlineLvl w:val="0"/>
    </w:pPr>
    <w:rPr>
      <w:rFonts w:ascii="Calibri" w:hAnsi="Calibri" w:eastAsia="方正小标宋简体"/>
      <w:bCs/>
      <w:kern w:val="44"/>
      <w:sz w:val="44"/>
      <w:szCs w:val="44"/>
    </w:rPr>
  </w:style>
  <w:style w:type="paragraph" w:styleId="3">
    <w:name w:val="heading 2"/>
    <w:basedOn w:val="1"/>
    <w:next w:val="1"/>
    <w:link w:val="31"/>
    <w:semiHidden/>
    <w:unhideWhenUsed/>
    <w:qFormat/>
    <w:uiPriority w:val="0"/>
    <w:pPr>
      <w:keepNext/>
      <w:keepLines/>
      <w:widowControl w:val="0"/>
      <w:spacing w:line="700" w:lineRule="exact"/>
      <w:jc w:val="center"/>
      <w:outlineLvl w:val="1"/>
    </w:pPr>
    <w:rPr>
      <w:rFonts w:ascii="Cambria" w:hAnsi="Cambria" w:eastAsia="方正小标宋简体" w:cs="Times New Roman"/>
      <w:b/>
      <w:bCs/>
      <w:sz w:val="44"/>
      <w:szCs w:val="32"/>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widowControl w:val="0"/>
      <w:spacing w:line="240" w:lineRule="auto"/>
      <w:ind w:firstLine="420" w:firstLineChars="200"/>
    </w:pPr>
    <w:rPr>
      <w:rFonts w:eastAsia="宋体" w:cs="Times New Roman"/>
      <w:sz w:val="21"/>
      <w:szCs w:val="24"/>
    </w:rPr>
  </w:style>
  <w:style w:type="paragraph" w:styleId="5">
    <w:name w:val="toc 2"/>
    <w:basedOn w:val="1"/>
    <w:next w:val="1"/>
    <w:qFormat/>
    <w:uiPriority w:val="0"/>
    <w:pPr>
      <w:ind w:left="200" w:leftChars="200"/>
    </w:pPr>
  </w:style>
  <w:style w:type="paragraph" w:styleId="6">
    <w:name w:val="Body Text"/>
    <w:basedOn w:val="1"/>
    <w:next w:val="1"/>
    <w:qFormat/>
    <w:uiPriority w:val="0"/>
    <w:pPr>
      <w:widowControl w:val="0"/>
      <w:spacing w:line="0" w:lineRule="atLeast"/>
    </w:pPr>
    <w:rPr>
      <w:rFonts w:eastAsia="小标宋" w:asciiTheme="minorHAnsi" w:hAnsiTheme="minorHAnsi"/>
      <w:sz w:val="44"/>
      <w:szCs w:val="20"/>
    </w:rPr>
  </w:style>
  <w:style w:type="paragraph" w:styleId="7">
    <w:name w:val="Body Text Indent"/>
    <w:basedOn w:val="1"/>
    <w:next w:val="8"/>
    <w:qFormat/>
    <w:uiPriority w:val="0"/>
    <w:pPr>
      <w:widowControl w:val="0"/>
      <w:spacing w:line="240" w:lineRule="auto"/>
      <w:ind w:firstLine="616" w:firstLineChars="200"/>
    </w:pPr>
    <w:rPr>
      <w:rFonts w:ascii="仿宋_GB2312" w:hAnsiTheme="minorHAnsi"/>
      <w:spacing w:val="-6"/>
      <w:szCs w:val="32"/>
    </w:rPr>
  </w:style>
  <w:style w:type="paragraph" w:styleId="8">
    <w:name w:val="Body Text First Indent 2"/>
    <w:basedOn w:val="7"/>
    <w:next w:val="6"/>
    <w:qFormat/>
    <w:uiPriority w:val="0"/>
    <w:pPr>
      <w:ind w:firstLine="420"/>
    </w:pPr>
    <w:rPr>
      <w:rFonts w:ascii="Calibri" w:hAnsi="Calibri" w:eastAsia="宋体" w:cs="Times New Roman"/>
      <w:spacing w:val="0"/>
      <w:sz w:val="30"/>
      <w:szCs w:val="24"/>
    </w:rPr>
  </w:style>
  <w:style w:type="paragraph" w:styleId="9">
    <w:name w:val="Plain Text"/>
    <w:basedOn w:val="1"/>
    <w:qFormat/>
    <w:uiPriority w:val="0"/>
    <w:pPr>
      <w:widowControl w:val="0"/>
      <w:spacing w:line="240" w:lineRule="auto"/>
    </w:pPr>
    <w:rPr>
      <w:rFonts w:ascii="宋体" w:hAnsi="Courier New" w:eastAsia="宋体" w:cs="Courier New"/>
      <w:sz w:val="21"/>
      <w:szCs w:val="21"/>
    </w:rPr>
  </w:style>
  <w:style w:type="paragraph" w:styleId="10">
    <w:name w:val="Balloon Text"/>
    <w:basedOn w:val="1"/>
    <w:link w:val="34"/>
    <w:qFormat/>
    <w:uiPriority w:val="0"/>
    <w:pPr>
      <w:widowControl w:val="0"/>
      <w:spacing w:line="240" w:lineRule="auto"/>
    </w:pPr>
    <w:rPr>
      <w:rFonts w:asciiTheme="minorHAnsi" w:hAnsiTheme="minorHAnsi" w:eastAsiaTheme="minorEastAsia"/>
      <w:sz w:val="18"/>
      <w:szCs w:val="18"/>
    </w:rPr>
  </w:style>
  <w:style w:type="paragraph" w:styleId="11">
    <w:name w:val="footer"/>
    <w:basedOn w:val="1"/>
    <w:link w:val="30"/>
    <w:qFormat/>
    <w:uiPriority w:val="99"/>
    <w:pPr>
      <w:tabs>
        <w:tab w:val="center" w:pos="4153"/>
        <w:tab w:val="right" w:pos="8306"/>
      </w:tabs>
      <w:snapToGrid w:val="0"/>
      <w:spacing w:line="240" w:lineRule="atLeast"/>
      <w:jc w:val="left"/>
    </w:pPr>
    <w:rPr>
      <w:sz w:val="18"/>
      <w:szCs w:val="18"/>
    </w:rPr>
  </w:style>
  <w:style w:type="paragraph" w:styleId="12">
    <w:name w:val="header"/>
    <w:basedOn w:val="1"/>
    <w:link w:val="29"/>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3">
    <w:name w:val="toc 1"/>
    <w:basedOn w:val="1"/>
    <w:next w:val="1"/>
    <w:qFormat/>
    <w:uiPriority w:val="0"/>
  </w:style>
  <w:style w:type="paragraph" w:styleId="14">
    <w:name w:val="footnote text"/>
    <w:basedOn w:val="1"/>
    <w:next w:val="8"/>
    <w:qFormat/>
    <w:uiPriority w:val="0"/>
    <w:pPr>
      <w:widowControl w:val="0"/>
      <w:snapToGrid w:val="0"/>
      <w:spacing w:line="240" w:lineRule="auto"/>
      <w:jc w:val="left"/>
    </w:pPr>
    <w:rPr>
      <w:rFonts w:eastAsia="宋体" w:cs="Times New Roman"/>
      <w:sz w:val="18"/>
      <w:szCs w:val="18"/>
    </w:rPr>
  </w:style>
  <w:style w:type="paragraph" w:styleId="15">
    <w:name w:val="Normal (Web)"/>
    <w:basedOn w:val="1"/>
    <w:qFormat/>
    <w:uiPriority w:val="0"/>
    <w:pPr>
      <w:spacing w:before="100" w:beforeAutospacing="1" w:after="100" w:afterAutospacing="1"/>
      <w:jc w:val="left"/>
    </w:pPr>
    <w:rPr>
      <w:rFonts w:ascii="宋体" w:hAnsi="宋体" w:eastAsia="宋体" w:cs="宋体"/>
      <w:kern w:val="0"/>
      <w:sz w:val="24"/>
    </w:rPr>
  </w:style>
  <w:style w:type="paragraph" w:styleId="16">
    <w:name w:val="Title"/>
    <w:basedOn w:val="1"/>
    <w:next w:val="1"/>
    <w:link w:val="32"/>
    <w:qFormat/>
    <w:uiPriority w:val="0"/>
    <w:pPr>
      <w:adjustRightInd w:val="0"/>
      <w:snapToGrid w:val="0"/>
      <w:spacing w:after="200" w:line="240" w:lineRule="auto"/>
      <w:jc w:val="center"/>
      <w:outlineLvl w:val="0"/>
    </w:pPr>
    <w:rPr>
      <w:rFonts w:ascii="Arial" w:hAnsi="Arial" w:eastAsia="微软雅黑" w:cs="Times New Roman"/>
      <w:b/>
      <w:bCs/>
      <w:kern w:val="0"/>
      <w:szCs w:val="32"/>
    </w:rPr>
  </w:style>
  <w:style w:type="paragraph" w:styleId="17">
    <w:name w:val="Body Text First Indent"/>
    <w:basedOn w:val="6"/>
    <w:qFormat/>
    <w:uiPriority w:val="0"/>
    <w:pPr>
      <w:ind w:firstLine="420" w:firstLineChars="100"/>
    </w:pPr>
  </w:style>
  <w:style w:type="character" w:styleId="20">
    <w:name w:val="Strong"/>
    <w:basedOn w:val="19"/>
    <w:qFormat/>
    <w:uiPriority w:val="0"/>
    <w:rPr>
      <w:rFonts w:ascii="Times New Roman" w:hAnsi="Times New Roman" w:eastAsia="宋体" w:cs="Times New Roman"/>
      <w:b/>
    </w:rPr>
  </w:style>
  <w:style w:type="character" w:styleId="21">
    <w:name w:val="page number"/>
    <w:basedOn w:val="19"/>
    <w:qFormat/>
    <w:uiPriority w:val="0"/>
    <w:rPr>
      <w:rFonts w:ascii="Calibri" w:hAnsi="Calibri" w:eastAsia="宋体" w:cs="Times New Roman"/>
    </w:rPr>
  </w:style>
  <w:style w:type="character" w:styleId="22">
    <w:name w:val="Hyperlink"/>
    <w:basedOn w:val="19"/>
    <w:qFormat/>
    <w:uiPriority w:val="0"/>
    <w:rPr>
      <w:rFonts w:asciiTheme="minorHAnsi" w:hAnsiTheme="minorHAnsi" w:eastAsiaTheme="minorEastAsia" w:cstheme="minorBidi"/>
      <w:color w:val="0000FF"/>
      <w:u w:val="single"/>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标题 字符"/>
    <w:basedOn w:val="19"/>
    <w:qFormat/>
    <w:uiPriority w:val="10"/>
    <w:rPr>
      <w:rFonts w:ascii="Arial" w:hAnsi="Arial" w:eastAsia="微软雅黑" w:cs="Times New Roman"/>
      <w:b/>
      <w:bCs/>
      <w:kern w:val="0"/>
      <w:szCs w:val="32"/>
      <w:lang w:val="en-US" w:eastAsia="zh-CN" w:bidi="ar-SA"/>
    </w:rPr>
  </w:style>
  <w:style w:type="paragraph" w:styleId="25">
    <w:name w:val="List Paragraph"/>
    <w:basedOn w:val="1"/>
    <w:semiHidden/>
    <w:unhideWhenUsed/>
    <w:qFormat/>
    <w:uiPriority w:val="99"/>
    <w:pPr>
      <w:ind w:firstLine="420" w:firstLineChars="200"/>
    </w:pPr>
  </w:style>
  <w:style w:type="character" w:customStyle="1" w:styleId="26">
    <w:name w:val="页眉 字符"/>
    <w:basedOn w:val="19"/>
    <w:qFormat/>
    <w:uiPriority w:val="99"/>
    <w:rPr>
      <w:rFonts w:ascii="Times New Roman" w:hAnsi="Times New Roman" w:eastAsia="宋体" w:cs="Times New Roman"/>
      <w:sz w:val="18"/>
      <w:szCs w:val="18"/>
      <w:lang w:val="en-US" w:eastAsia="zh-CN" w:bidi="ar-SA"/>
    </w:rPr>
  </w:style>
  <w:style w:type="character" w:customStyle="1" w:styleId="27">
    <w:name w:val="页脚 字符"/>
    <w:basedOn w:val="19"/>
    <w:qFormat/>
    <w:uiPriority w:val="99"/>
    <w:rPr>
      <w:rFonts w:ascii="Times New Roman" w:hAnsi="Times New Roman" w:eastAsia="宋体" w:cs="Times New Roman"/>
      <w:sz w:val="18"/>
      <w:szCs w:val="18"/>
      <w:lang w:val="en-US" w:eastAsia="zh-CN" w:bidi="ar-SA"/>
    </w:rPr>
  </w:style>
  <w:style w:type="character" w:customStyle="1" w:styleId="28">
    <w:name w:val="NormalCharacter"/>
    <w:semiHidden/>
    <w:qFormat/>
    <w:uiPriority w:val="0"/>
    <w:rPr>
      <w:rFonts w:ascii="Calibri" w:hAnsi="Calibri" w:eastAsia="宋体" w:cs="Times New Roman"/>
      <w:kern w:val="2"/>
      <w:sz w:val="21"/>
      <w:szCs w:val="24"/>
      <w:lang w:val="en-US" w:eastAsia="zh-CN" w:bidi="ar-SA"/>
    </w:rPr>
  </w:style>
  <w:style w:type="character" w:customStyle="1" w:styleId="29">
    <w:name w:val="页眉 Char"/>
    <w:basedOn w:val="19"/>
    <w:link w:val="12"/>
    <w:qFormat/>
    <w:uiPriority w:val="99"/>
    <w:rPr>
      <w:rFonts w:ascii="Times New Roman" w:hAnsi="Times New Roman" w:eastAsia="宋体" w:cs="Times New Roman"/>
      <w:sz w:val="18"/>
      <w:szCs w:val="18"/>
    </w:rPr>
  </w:style>
  <w:style w:type="character" w:customStyle="1" w:styleId="30">
    <w:name w:val="页脚 Char"/>
    <w:basedOn w:val="19"/>
    <w:link w:val="11"/>
    <w:qFormat/>
    <w:uiPriority w:val="99"/>
    <w:rPr>
      <w:rFonts w:ascii="Times New Roman" w:hAnsi="Times New Roman" w:eastAsia="宋体" w:cs="Times New Roman"/>
      <w:sz w:val="18"/>
      <w:szCs w:val="18"/>
    </w:rPr>
  </w:style>
  <w:style w:type="character" w:customStyle="1" w:styleId="31">
    <w:name w:val="标题 2 Char"/>
    <w:basedOn w:val="19"/>
    <w:link w:val="3"/>
    <w:qFormat/>
    <w:uiPriority w:val="9"/>
    <w:rPr>
      <w:rFonts w:ascii="Cambria" w:hAnsi="Cambria" w:eastAsia="方正小标宋简体" w:cs="Times New Roman"/>
      <w:b/>
      <w:bCs/>
      <w:sz w:val="44"/>
      <w:szCs w:val="32"/>
    </w:rPr>
  </w:style>
  <w:style w:type="character" w:customStyle="1" w:styleId="32">
    <w:name w:val="标题 Char"/>
    <w:basedOn w:val="19"/>
    <w:link w:val="16"/>
    <w:qFormat/>
    <w:uiPriority w:val="99"/>
    <w:rPr>
      <w:rFonts w:ascii="Cambria" w:hAnsi="Cambria" w:eastAsia="宋体" w:cs="Times New Roman"/>
      <w:b/>
      <w:bCs/>
      <w:kern w:val="0"/>
      <w:sz w:val="32"/>
      <w:szCs w:val="32"/>
    </w:rPr>
  </w:style>
  <w:style w:type="character" w:customStyle="1" w:styleId="33">
    <w:name w:val="text-parser_strong__14xxy"/>
    <w:basedOn w:val="19"/>
    <w:qFormat/>
    <w:uiPriority w:val="0"/>
    <w:rPr>
      <w:rFonts w:asciiTheme="minorHAnsi" w:hAnsiTheme="minorHAnsi" w:eastAsiaTheme="minorEastAsia" w:cstheme="minorBidi"/>
    </w:rPr>
  </w:style>
  <w:style w:type="character" w:customStyle="1" w:styleId="34">
    <w:name w:val="批注框文本 Char"/>
    <w:basedOn w:val="19"/>
    <w:link w:val="10"/>
    <w:semiHidden/>
    <w:qFormat/>
    <w:uiPriority w:val="99"/>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13</Pages>
  <Words>5517</Words>
  <Characters>6408</Characters>
  <Lines>45</Lines>
  <Paragraphs>12</Paragraphs>
  <TotalTime>5</TotalTime>
  <ScaleCrop>false</ScaleCrop>
  <LinksUpToDate>false</LinksUpToDate>
  <CharactersWithSpaces>6411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2022-10-20T19:26:00Z</dcterms:created>
  <dc:creator>张辰</dc:creator>
  <cp:lastModifiedBy>原来你也在这里</cp:lastModifiedBy>
  <cp:lastPrinted>2024-12-17T05:39:00Z</cp:lastPrinted>
  <dcterms:modified xsi:type="dcterms:W3CDTF">2024-12-22T02:43:33Z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97631536971C4E90B209CD2859084807</vt:lpwstr>
  </property>
  <property fmtid="{D5CDD505-2E9C-101B-9397-08002B2CF9AE}" pid="4" name="RevisionsView">
    <vt:lpwstr>0</vt:lpwstr>
  </property>
</Properties>
</file>